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9E5E70">
      <w:pPr>
        <w:pStyle w:val="Heading1"/>
      </w:pPr>
      <w:r w:rsidRPr="00462DD2">
        <w:t>1AC</w:t>
      </w:r>
    </w:p>
    <w:p w14:paraId="68026D5C" w14:textId="7EDF53CC" w:rsidR="008F651F" w:rsidRPr="00462DD2" w:rsidRDefault="008F651F" w:rsidP="00023A3B">
      <w:pPr>
        <w:pStyle w:val="Heading3"/>
        <w:tabs>
          <w:tab w:val="left" w:pos="6120"/>
        </w:tabs>
        <w:spacing w:line="480" w:lineRule="auto"/>
        <w:jc w:val="left"/>
        <w:rPr>
          <w:sz w:val="40"/>
          <w:shd w:val="clear" w:color="auto" w:fill="FFFFFF"/>
        </w:rPr>
      </w:pPr>
    </w:p>
    <w:p w14:paraId="402A4F71" w14:textId="5AC17FE9" w:rsidR="008F651F" w:rsidRPr="0086149D" w:rsidRDefault="00291D1E" w:rsidP="009E5E70">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4834E4BC"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547240">
        <w:rPr>
          <w:rFonts w:ascii="Baskerville" w:hAnsi="Baskerville" w:cs="Times New Roman"/>
          <w:color w:val="000000"/>
          <w:sz w:val="32"/>
          <w:shd w:val="clear" w:color="auto" w:fill="FFFFFF"/>
        </w:rPr>
        <w:t>benefits vs. the</w:t>
      </w:r>
      <w:r w:rsidR="00FB0640">
        <w:rPr>
          <w:rFonts w:ascii="Baskerville" w:hAnsi="Baskerville" w:cs="Times New Roman"/>
          <w:color w:val="000000"/>
          <w:sz w:val="32"/>
          <w:shd w:val="clear" w:color="auto" w:fill="FFFFFF"/>
        </w:rPr>
        <w:t xml:space="preserv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FAE084D" w14:textId="7260154E" w:rsidR="008F651F" w:rsidRPr="00577BD0" w:rsidRDefault="008F651F" w:rsidP="00547240">
      <w:pPr>
        <w:spacing w:line="480" w:lineRule="auto"/>
        <w:rPr>
          <w:rFonts w:ascii="Baskerville" w:hAnsi="Baskerville"/>
          <w:color w:val="E36C0A" w:themeColor="accent6" w:themeShade="BF"/>
          <w:sz w:val="32"/>
          <w:szCs w:val="32"/>
        </w:rPr>
      </w:pPr>
      <w:r w:rsidRPr="0086149D">
        <w:rPr>
          <w:rFonts w:ascii="Baskerville" w:eastAsia="Times New Roman" w:hAnsi="Baskerville" w:cs="Times New Roman"/>
          <w:color w:val="000000"/>
          <w:sz w:val="32"/>
          <w:shd w:val="clear" w:color="auto" w:fill="FFFFFF"/>
        </w:rPr>
        <w:t xml:space="preserve">Now moving on to our </w:t>
      </w:r>
      <w:r w:rsidR="00547240">
        <w:rPr>
          <w:rFonts w:ascii="Baskerville" w:eastAsia="Times New Roman" w:hAnsi="Baskerville" w:cs="Times New Roman"/>
          <w:color w:val="000000"/>
          <w:sz w:val="32"/>
          <w:shd w:val="clear" w:color="auto" w:fill="FFFFFF"/>
        </w:rPr>
        <w:t>3 contentions</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6F3F81B6" w:rsidR="008F651F" w:rsidRPr="00462DD2" w:rsidRDefault="00547240" w:rsidP="00547240">
      <w:pPr>
        <w:pStyle w:val="Heading2"/>
      </w:pPr>
      <w:r>
        <w:t>Contention 1:</w:t>
      </w:r>
      <w:r w:rsidR="008F651F" w:rsidRPr="00462DD2">
        <w:t xml:space="preserve">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4D4C7306" w:rsidR="008F651F" w:rsidRPr="0086149D" w:rsidRDefault="008F651F" w:rsidP="001F1947">
      <w:pPr>
        <w:pStyle w:val="Heading4"/>
        <w:spacing w:line="480" w:lineRule="auto"/>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 xml:space="preserve">The Internet of things stabilizes gas prices </w:t>
      </w:r>
    </w:p>
    <w:p w14:paraId="0EA37143" w14:textId="77777777" w:rsidR="008F651F" w:rsidRPr="006311BA" w:rsidRDefault="008F651F" w:rsidP="001F1947">
      <w:pPr>
        <w:pStyle w:val="Heading4"/>
        <w:spacing w:line="480" w:lineRule="auto"/>
        <w:rPr>
          <w:rFonts w:ascii="Baskerville" w:hAnsi="Baskerville"/>
          <w:sz w:val="32"/>
          <w:szCs w:val="32"/>
        </w:rPr>
      </w:pPr>
    </w:p>
    <w:p w14:paraId="45A49EBD" w14:textId="77777777" w:rsidR="003A6AE5" w:rsidRPr="003A6AE5" w:rsidRDefault="003A6AE5" w:rsidP="001F1947">
      <w:pPr>
        <w:spacing w:line="480"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0732FA60" w:rsidR="003A6AE5" w:rsidRPr="001F1947" w:rsidRDefault="001F1947" w:rsidP="001F1947">
      <w:pPr>
        <w:spacing w:line="480" w:lineRule="auto"/>
        <w:rPr>
          <w:rStyle w:val="Emphasis"/>
          <w:rFonts w:ascii="Baskerville" w:hAnsi="Baskerville"/>
          <w:b w:val="0"/>
          <w:szCs w:val="32"/>
          <w:u w:val="none"/>
        </w:rPr>
      </w:pPr>
      <w:r>
        <w:rPr>
          <w:rStyle w:val="Emphasis"/>
          <w:rFonts w:ascii="Baskerville" w:hAnsi="Baskerville"/>
          <w:sz w:val="28"/>
          <w:szCs w:val="32"/>
        </w:rPr>
        <w:t>Dimitrov</w:t>
      </w:r>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beat.But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Shell and its partner organization, Upland Consulting, to choose a low-power, long-range IoT network solution put out by San Diego-based Ingenu,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“The key criteria for selecting a solution were the technology’s ability to cover difficult terrain, power performance and long-range transmission, as well as network scalability, two-way communications and secure data transmission,” Upland Consulting CEO Bola Awobamise told RCR Wireless. “Ingenu’s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While oil production may be a multi-billion dollar enterprise, Shell’s investment in Ingenu’s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7855A3">
        <w:rPr>
          <w:rStyle w:val="Emphasis"/>
          <w:rFonts w:ascii="Baskerville" w:hAnsi="Baskerville"/>
          <w:b w:val="0"/>
          <w:sz w:val="28"/>
          <w:szCs w:val="32"/>
          <w:u w:val="none"/>
        </w:rPr>
        <w:t>Shell only had to spend $87,000 to monitor its entire oil production capacity in Nigeria.</w:t>
      </w:r>
      <w:r w:rsidRPr="007855A3">
        <w:rPr>
          <w:rStyle w:val="Emphasis"/>
          <w:rFonts w:ascii="Baskerville" w:hAnsi="Baskerville"/>
          <w:sz w:val="28"/>
          <w:szCs w:val="32"/>
          <w:u w:val="none"/>
        </w:rPr>
        <w:t xml:space="preserve"> </w:t>
      </w:r>
      <w:r w:rsidRPr="004930A5">
        <w:rPr>
          <w:rStyle w:val="Emphasis"/>
          <w:rFonts w:ascii="Baskerville" w:hAnsi="Baskerville"/>
          <w:b w:val="0"/>
          <w:sz w:val="20"/>
          <w:szCs w:val="32"/>
          <w:u w:val="none"/>
        </w:rPr>
        <w:t>No small feat, said Ingenu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Hilcorp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3037ECA5"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Iot’s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1F1947">
      <w:pPr>
        <w:spacing w:line="480"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7855A3" w:rsidRDefault="008F651F" w:rsidP="001F1947">
      <w:pPr>
        <w:spacing w:line="480" w:lineRule="auto"/>
        <w:rPr>
          <w:rFonts w:ascii="Baskerville" w:hAnsi="Baskerville"/>
          <w:color w:val="FF0000"/>
          <w:sz w:val="24"/>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w:t>
      </w:r>
      <w:r w:rsidR="000A5885" w:rsidRPr="007855A3">
        <w:rPr>
          <w:rFonts w:ascii="Baskerville" w:hAnsi="Baskerville"/>
          <w:color w:val="FF0000"/>
          <w:sz w:val="24"/>
          <w:szCs w:val="32"/>
        </w:rPr>
        <w:t>Therefore countries implementing IOT will undoubtedly have their living situation and economy improve</w:t>
      </w:r>
      <w:r w:rsidR="005D3ADE" w:rsidRPr="007855A3">
        <w:rPr>
          <w:rFonts w:ascii="Baskerville" w:hAnsi="Baskerville"/>
          <w:color w:val="FF0000"/>
          <w:sz w:val="24"/>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3B5125D9" w14:textId="13CE6A33" w:rsidR="008D46CA" w:rsidRDefault="00547240" w:rsidP="00547240">
      <w:pPr>
        <w:pStyle w:val="Heading2"/>
      </w:pPr>
      <w:r>
        <w:t xml:space="preserve">Contention 2: </w:t>
      </w:r>
      <w:r w:rsidR="00720CB6">
        <w:t>Carbon Emissions</w:t>
      </w:r>
    </w:p>
    <w:p w14:paraId="5EBF3B43" w14:textId="713E4E61" w:rsidR="00720CB6" w:rsidRDefault="00720CB6" w:rsidP="00720CB6">
      <w:pPr>
        <w:rPr>
          <w:rStyle w:val="Style13ptBold"/>
          <w:sz w:val="32"/>
        </w:rPr>
      </w:pPr>
      <w:r>
        <w:rPr>
          <w:rStyle w:val="Style13ptBold"/>
          <w:sz w:val="32"/>
        </w:rPr>
        <w:t>Goerlich 16</w:t>
      </w:r>
    </w:p>
    <w:p w14:paraId="6B1EB338" w14:textId="3A8710DF" w:rsidR="00720CB6" w:rsidRPr="00030316" w:rsidRDefault="00720CB6" w:rsidP="00720CB6">
      <w:pPr>
        <w:rPr>
          <w:rStyle w:val="Style13ptBold"/>
          <w:sz w:val="32"/>
          <w:u w:val="single"/>
        </w:rPr>
      </w:pPr>
      <w:r w:rsidRPr="00030316">
        <w:rPr>
          <w:rStyle w:val="Style13ptBold"/>
          <w:sz w:val="32"/>
          <w:u w:val="single"/>
        </w:rPr>
        <w:t>digital technologies might help save 7.6 G</w:t>
      </w:r>
      <w:r w:rsidR="00030316" w:rsidRPr="00030316">
        <w:rPr>
          <w:rStyle w:val="Style13ptBold"/>
          <w:sz w:val="32"/>
          <w:u w:val="single"/>
        </w:rPr>
        <w:t>iga</w:t>
      </w:r>
      <w:r w:rsidRPr="00030316">
        <w:rPr>
          <w:rStyle w:val="Style13ptBold"/>
          <w:sz w:val="32"/>
          <w:u w:val="single"/>
        </w:rPr>
        <w:t>t</w:t>
      </w:r>
      <w:r w:rsidR="00030316" w:rsidRPr="00030316">
        <w:rPr>
          <w:rStyle w:val="Style13ptBold"/>
          <w:sz w:val="32"/>
          <w:u w:val="single"/>
        </w:rPr>
        <w:t>on</w:t>
      </w:r>
      <w:r w:rsidR="00C018B5">
        <w:rPr>
          <w:rStyle w:val="Style13ptBold"/>
          <w:sz w:val="32"/>
          <w:u w:val="single"/>
        </w:rPr>
        <w:t>s</w:t>
      </w:r>
      <w:r w:rsidRPr="00030316">
        <w:rPr>
          <w:rStyle w:val="Style13ptBold"/>
          <w:sz w:val="32"/>
          <w:u w:val="single"/>
        </w:rPr>
        <w:t xml:space="preserve"> carbon emissions by 2030</w:t>
      </w:r>
      <w:r w:rsidRPr="00720CB6">
        <w:rPr>
          <w:sz w:val="14"/>
        </w:rPr>
        <w:t>, a finding that is based on the #SMARTer2030 study by the Global e-Sustainability Initiative (GeSI) and Accenture Strategy. The research uncovered that we can maintain worldwide carbon emissions to 2015 levels – but only through the intelligent use of technology. Based on GeSI’s findings</w:t>
      </w:r>
      <w:r w:rsidRPr="00030316">
        <w:rPr>
          <w:sz w:val="14"/>
          <w:u w:val="single"/>
        </w:rPr>
        <w:t>,</w:t>
      </w:r>
      <w:r w:rsidRPr="00030316">
        <w:rPr>
          <w:sz w:val="28"/>
          <w:u w:val="single"/>
        </w:rPr>
        <w:t xml:space="preserve"> </w:t>
      </w:r>
      <w:r w:rsidRPr="00030316">
        <w:rPr>
          <w:rStyle w:val="Style13ptBold"/>
          <w:sz w:val="32"/>
          <w:u w:val="single"/>
        </w:rPr>
        <w:t>we concluded that six major industries – utilities, transportation and logistics, manufacturing, retail and consumer products, agriculture and food production, and constru</w:t>
      </w:r>
      <w:r w:rsidR="00C018B5">
        <w:rPr>
          <w:rStyle w:val="Style13ptBold"/>
          <w:sz w:val="32"/>
          <w:u w:val="single"/>
        </w:rPr>
        <w:t>ction – could cut 63% of 12.1 Gigatons</w:t>
      </w:r>
      <w:r w:rsidRPr="00030316">
        <w:rPr>
          <w:rStyle w:val="Style13ptBold"/>
          <w:sz w:val="32"/>
          <w:u w:val="single"/>
        </w:rPr>
        <w:t xml:space="preserve"> in carbon emissions.</w:t>
      </w:r>
    </w:p>
    <w:p w14:paraId="6F40FB53" w14:textId="77777777" w:rsidR="00720CB6" w:rsidRDefault="00720CB6" w:rsidP="00720CB6">
      <w:pPr>
        <w:rPr>
          <w:rStyle w:val="Style13ptBold"/>
        </w:rPr>
      </w:pPr>
    </w:p>
    <w:p w14:paraId="2AF687D4" w14:textId="3F5CA88F" w:rsidR="00720CB6" w:rsidRPr="003D21D4" w:rsidRDefault="00720CB6" w:rsidP="00720CB6">
      <w:pPr>
        <w:rPr>
          <w:sz w:val="32"/>
        </w:rPr>
      </w:pPr>
      <w:r w:rsidRPr="003D21D4">
        <w:rPr>
          <w:sz w:val="32"/>
        </w:rPr>
        <w:t>Carbon emmsions will be monitored by IOT devices constantly. This will make sure companies are actually cutting down their emmisions and abiding the limit put in place by the government. This strategy being implemented will yield a 63% decrease in carbo</w:t>
      </w:r>
      <w:r w:rsidR="006B07E7">
        <w:rPr>
          <w:sz w:val="32"/>
        </w:rPr>
        <w:t>n em</w:t>
      </w:r>
      <w:bookmarkStart w:id="0" w:name="_GoBack"/>
      <w:bookmarkEnd w:id="0"/>
      <w:r w:rsidRPr="003D21D4">
        <w:rPr>
          <w:sz w:val="32"/>
        </w:rPr>
        <w:t>issions.</w:t>
      </w:r>
    </w:p>
    <w:p w14:paraId="64C116FF" w14:textId="77777777" w:rsidR="00720CB6" w:rsidRPr="003D21D4" w:rsidRDefault="00720CB6" w:rsidP="00720CB6">
      <w:pPr>
        <w:rPr>
          <w:sz w:val="32"/>
        </w:rPr>
      </w:pPr>
    </w:p>
    <w:p w14:paraId="25B5DB0B" w14:textId="539A3A66" w:rsidR="00720CB6" w:rsidRPr="003D21D4" w:rsidRDefault="00720CB6" w:rsidP="00720CB6">
      <w:pPr>
        <w:rPr>
          <w:sz w:val="32"/>
        </w:rPr>
      </w:pPr>
      <w:r w:rsidRPr="003D21D4">
        <w:rPr>
          <w:sz w:val="32"/>
        </w:rPr>
        <w:t xml:space="preserve">This could decrease the rate of climate change and prevent human extinction. Climate change is a big problem today and IOT is allowing our species to fight that battle and possibly get one step closer to stopping climate change. Also, preventing companies to pollute indefinitely will cause companies to switch to renewable energy sources which is helpful for the atmosphere and the company because they do not have to limit their energy consumption with clean energy. </w:t>
      </w:r>
    </w:p>
    <w:p w14:paraId="3CE8BA82" w14:textId="4747E5F1" w:rsidR="00547240" w:rsidRDefault="00547240" w:rsidP="00547240">
      <w:pPr>
        <w:pStyle w:val="Heading2"/>
      </w:pPr>
      <w:r>
        <w:t>Contention 3: Water Usage</w:t>
      </w:r>
    </w:p>
    <w:p w14:paraId="569711AF" w14:textId="7C8E4FC5" w:rsidR="00547240" w:rsidRPr="00547240" w:rsidRDefault="00547240" w:rsidP="00547240">
      <w:r>
        <w:t>Iot will reduce water usage</w:t>
      </w:r>
    </w:p>
    <w:p w14:paraId="2C4D2ACA" w14:textId="77777777" w:rsidR="00547240" w:rsidRPr="00547240" w:rsidRDefault="00547240" w:rsidP="00547240"/>
    <w:p w14:paraId="3B65915A" w14:textId="27CA0CE5" w:rsidR="00547240" w:rsidRDefault="00547240" w:rsidP="001F1947">
      <w:pPr>
        <w:spacing w:line="480" w:lineRule="auto"/>
        <w:rPr>
          <w:rStyle w:val="Style13ptBold"/>
        </w:rPr>
      </w:pPr>
      <w:r>
        <w:rPr>
          <w:rStyle w:val="Style13ptBold"/>
        </w:rPr>
        <w:t>Bantle 16</w:t>
      </w:r>
    </w:p>
    <w:p w14:paraId="27F80341" w14:textId="4AE7028C" w:rsidR="007855A3" w:rsidRPr="00030316" w:rsidRDefault="00547240" w:rsidP="001F1947">
      <w:pPr>
        <w:spacing w:line="480" w:lineRule="auto"/>
        <w:rPr>
          <w:rStyle w:val="Style13ptBold"/>
          <w:sz w:val="28"/>
          <w:u w:val="single"/>
        </w:rPr>
      </w:pPr>
      <w:r w:rsidRPr="00030316">
        <w:rPr>
          <w:rStyle w:val="Style13ptBold"/>
          <w:sz w:val="28"/>
          <w:u w:val="single"/>
        </w:rPr>
        <w:t xml:space="preserve">“The case study showed water usage reduction by 75 percent, but the usage will climb as the trees get bigger. The goal is to reach a 50 percent reduction of water usage when fully grown. By keeping the salts in check along with keeping nutrients supplied, stress on the trees is reduced and they are able to have better crop production,” </w:t>
      </w:r>
    </w:p>
    <w:p w14:paraId="0D5D787F" w14:textId="0353EE0E" w:rsidR="00547240" w:rsidRPr="00023A3B" w:rsidRDefault="00547240" w:rsidP="00547240">
      <w:pPr>
        <w:rPr>
          <w:sz w:val="32"/>
        </w:rPr>
      </w:pPr>
      <w:r w:rsidRPr="00023A3B">
        <w:rPr>
          <w:sz w:val="32"/>
        </w:rPr>
        <w:t>IOT devices will be able to monitor the water consumption needed of a specific crop based on soil status.</w:t>
      </w:r>
      <w:r w:rsidR="00023A3B">
        <w:rPr>
          <w:sz w:val="32"/>
        </w:rPr>
        <w:t xml:space="preserve"> There are sensors on the bottom of the plants roots that will notify the farmer to stop watering when the amount of water is suitable to the plant. This will allow farmers to pour</w:t>
      </w:r>
      <w:r w:rsidRPr="00023A3B">
        <w:rPr>
          <w:sz w:val="32"/>
        </w:rPr>
        <w:t xml:space="preserve"> just the right amount of water in order to sustain a healthy crop. </w:t>
      </w:r>
    </w:p>
    <w:p w14:paraId="5E0D238F" w14:textId="77777777" w:rsidR="00547240" w:rsidRPr="00023A3B" w:rsidRDefault="00547240" w:rsidP="00547240">
      <w:pPr>
        <w:rPr>
          <w:sz w:val="32"/>
        </w:rPr>
      </w:pPr>
    </w:p>
    <w:p w14:paraId="391A1A10" w14:textId="3C322008" w:rsidR="00547240" w:rsidRPr="00023A3B" w:rsidRDefault="00547240" w:rsidP="00547240">
      <w:pPr>
        <w:rPr>
          <w:sz w:val="32"/>
        </w:rPr>
      </w:pPr>
      <w:r w:rsidRPr="00023A3B">
        <w:rPr>
          <w:sz w:val="32"/>
        </w:rPr>
        <w:t xml:space="preserve">With IOT we can see more crops yielded from less water consumption. This means food </w:t>
      </w:r>
      <w:r w:rsidR="00023A3B" w:rsidRPr="00023A3B">
        <w:rPr>
          <w:sz w:val="32"/>
        </w:rPr>
        <w:t>will be more affordable to the low income population because</w:t>
      </w:r>
      <w:r w:rsidR="00023A3B">
        <w:rPr>
          <w:sz w:val="32"/>
        </w:rPr>
        <w:t xml:space="preserve"> there will be </w:t>
      </w:r>
      <w:r w:rsidR="00023A3B" w:rsidRPr="00023A3B">
        <w:rPr>
          <w:sz w:val="32"/>
        </w:rPr>
        <w:t xml:space="preserve">more supply of food leading to a lower price. Also farmers </w:t>
      </w:r>
      <w:r w:rsidR="00023A3B">
        <w:rPr>
          <w:sz w:val="32"/>
        </w:rPr>
        <w:t>will be able to earn more profit due to the cut in water usage</w:t>
      </w:r>
      <w:r w:rsidR="00023A3B" w:rsidRPr="00023A3B">
        <w:rPr>
          <w:sz w:val="32"/>
        </w:rPr>
        <w:t>. This is important because farming is a dyi</w:t>
      </w:r>
      <w:r w:rsidR="00030316">
        <w:rPr>
          <w:sz w:val="32"/>
        </w:rPr>
        <w:t xml:space="preserve">ng occupation. In fact by 2020: </w:t>
      </w:r>
      <w:r w:rsidR="00023A3B" w:rsidRPr="00023A3B">
        <w:rPr>
          <w:sz w:val="32"/>
        </w:rPr>
        <w:t>19,100 farmers will be forced to stop their job. However, with the new profit a</w:t>
      </w:r>
      <w:r w:rsidR="00023A3B">
        <w:rPr>
          <w:sz w:val="32"/>
        </w:rPr>
        <w:t>nd less labor, farming will become</w:t>
      </w:r>
      <w:r w:rsidR="00023A3B" w:rsidRPr="00023A3B">
        <w:rPr>
          <w:sz w:val="32"/>
        </w:rPr>
        <w:t xml:space="preserve"> feasible career again.</w:t>
      </w:r>
    </w:p>
    <w:p w14:paraId="3897C4D9" w14:textId="2993F23C"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w:t>
      </w:r>
      <w:r w:rsidR="00030316">
        <w:rPr>
          <w:rFonts w:ascii="Baskerville" w:hAnsi="Baskerville"/>
          <w:sz w:val="32"/>
          <w:szCs w:val="32"/>
        </w:rPr>
        <w:t>in worldwide economy and extinction provention</w:t>
      </w:r>
      <w:r>
        <w:rPr>
          <w:rFonts w:ascii="Baskerville" w:hAnsi="Baskerville"/>
          <w:sz w:val="32"/>
          <w:szCs w:val="32"/>
        </w:rPr>
        <w:t xml:space="preserve"> we urge an aff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3A3B"/>
    <w:rsid w:val="0002490B"/>
    <w:rsid w:val="00026465"/>
    <w:rsid w:val="00030204"/>
    <w:rsid w:val="00030316"/>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427C"/>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21D4"/>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1E7B"/>
    <w:rsid w:val="004E355B"/>
    <w:rsid w:val="005028E5"/>
    <w:rsid w:val="00503735"/>
    <w:rsid w:val="00516A88"/>
    <w:rsid w:val="00522065"/>
    <w:rsid w:val="005224F2"/>
    <w:rsid w:val="00533F1C"/>
    <w:rsid w:val="00536D8B"/>
    <w:rsid w:val="005379C3"/>
    <w:rsid w:val="0054622E"/>
    <w:rsid w:val="00547240"/>
    <w:rsid w:val="005519C2"/>
    <w:rsid w:val="005523E0"/>
    <w:rsid w:val="0055320F"/>
    <w:rsid w:val="0055699B"/>
    <w:rsid w:val="0056020A"/>
    <w:rsid w:val="00563D3D"/>
    <w:rsid w:val="005659AA"/>
    <w:rsid w:val="005676E8"/>
    <w:rsid w:val="0057701C"/>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B07E7"/>
    <w:rsid w:val="006C3A56"/>
    <w:rsid w:val="006D13F4"/>
    <w:rsid w:val="006D6AED"/>
    <w:rsid w:val="006E6D0B"/>
    <w:rsid w:val="006F126E"/>
    <w:rsid w:val="006F32C9"/>
    <w:rsid w:val="006F3834"/>
    <w:rsid w:val="006F5693"/>
    <w:rsid w:val="006F5D4C"/>
    <w:rsid w:val="00717B01"/>
    <w:rsid w:val="00720CB6"/>
    <w:rsid w:val="007227D9"/>
    <w:rsid w:val="0072491F"/>
    <w:rsid w:val="00725598"/>
    <w:rsid w:val="007374A1"/>
    <w:rsid w:val="00752712"/>
    <w:rsid w:val="00753A84"/>
    <w:rsid w:val="007611F5"/>
    <w:rsid w:val="007619E4"/>
    <w:rsid w:val="00761E75"/>
    <w:rsid w:val="0076495E"/>
    <w:rsid w:val="00765FC8"/>
    <w:rsid w:val="00775694"/>
    <w:rsid w:val="007855A3"/>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5E70"/>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D30"/>
    <w:rsid w:val="00BF6B7A"/>
    <w:rsid w:val="00C018B5"/>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203A"/>
    <w:rsid w:val="00E541F9"/>
    <w:rsid w:val="00E57B79"/>
    <w:rsid w:val="00E63419"/>
    <w:rsid w:val="00E64496"/>
    <w:rsid w:val="00E72115"/>
    <w:rsid w:val="00E8322E"/>
    <w:rsid w:val="00E903E0"/>
    <w:rsid w:val="00EA1115"/>
    <w:rsid w:val="00EA39EB"/>
    <w:rsid w:val="00EA58CE"/>
    <w:rsid w:val="00EB0D62"/>
    <w:rsid w:val="00EB33FF"/>
    <w:rsid w:val="00EB3D1A"/>
    <w:rsid w:val="00EB42BE"/>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472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240"/>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472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240"/>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84343">
      <w:bodyDiv w:val="1"/>
      <w:marLeft w:val="0"/>
      <w:marRight w:val="0"/>
      <w:marTop w:val="0"/>
      <w:marBottom w:val="0"/>
      <w:divBdr>
        <w:top w:val="none" w:sz="0" w:space="0" w:color="auto"/>
        <w:left w:val="none" w:sz="0" w:space="0" w:color="auto"/>
        <w:bottom w:val="none" w:sz="0" w:space="0" w:color="auto"/>
        <w:right w:val="none" w:sz="0" w:space="0" w:color="auto"/>
      </w:divBdr>
    </w:div>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686518941">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3CE8BEF0-93DD-2F41-A03C-CED125E33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3</Pages>
  <Words>1533</Words>
  <Characters>8741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10254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4</cp:revision>
  <dcterms:created xsi:type="dcterms:W3CDTF">2016-11-08T07:28:00Z</dcterms:created>
  <dcterms:modified xsi:type="dcterms:W3CDTF">2016-11-08T23:20:00Z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