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before="900"/>
      </w:pPr>
    </w:p>
    <w:p>
      <w:pPr>
        <w:jc w:val="center"/>
      </w:pPr>
      <w:r>
        <w:rPr>
          <w:rFonts w:ascii="Arial" w:cs="Arial" w:eastAsia="Arial" w:hAnsi="Arial"/>
          <w:b/>
          <w:bCs/>
          <w:color w:val="1B4F72"/>
          <w:sz w:val="52"/>
          <w:szCs w:val="52"/>
        </w:rPr>
        <w:t xml:space="preserve">REPORT DI RICERCA</w:t>
      </w:r>
    </w:p>
    <w:p>
      <w:pPr>
        <w:spacing w:after="80" w:before="80"/>
      </w:pPr>
    </w:p>
    <w:p>
      <w:pPr>
        <w:spacing w:after="0" w:before="0"/>
        <w:jc w:val="center"/>
      </w:pPr>
      <w:r>
        <w:rPr>
          <w:rFonts w:ascii="Arial" w:cs="Arial" w:eastAsia="Arial" w:hAnsi="Arial"/>
          <w:b/>
          <w:bCs/>
          <w:color w:val="2E74B5"/>
          <w:sz w:val="32"/>
          <w:szCs w:val="32"/>
        </w:rPr>
        <w:t xml:space="preserve">Fisica Medica e Dosimetria Avanzata</w:t>
      </w:r>
    </w:p>
    <w:p>
      <w:pPr>
        <w:spacing w:after="160" w:before="0"/>
        <w:jc w:val="center"/>
      </w:pPr>
      <w:r>
        <w:rPr>
          <w:rFonts w:ascii="Arial" w:cs="Arial" w:eastAsia="Arial" w:hAnsi="Arial"/>
          <w:b/>
          <w:bCs/>
          <w:color w:val="2E74B5"/>
          <w:sz w:val="32"/>
          <w:szCs w:val="32"/>
        </w:rPr>
        <w:t xml:space="preserve">per la Radioterapia con Ioni e Fotoni</w:t>
      </w:r>
    </w:p>
    <w:p>
      <w:pPr>
        <w:pBdr>
          <w:bottom w:val="single" w:color="2E74B5" w:sz="6" w:space="1"/>
        </w:pBdr>
        <w:spacing w:after="400" w:before="80"/>
        <w:jc w:val="center"/>
      </w:pPr>
      <w:r>
        <w:rPr>
          <w:rFonts w:ascii="Arial" w:cs="Arial" w:eastAsia="Arial" w:hAnsi="Arial"/>
          <w:i/>
          <w:iCs/>
          <w:color w:val="555555"/>
          <w:sz w:val="22"/>
          <w:szCs w:val="22"/>
        </w:rPr>
        <w:t xml:space="preserve">INFN – Laboratori Nazionali del Sud, Catania  |  Marzo 2026</w:t>
      </w:r>
    </w:p>
    <w:p>
      <w:pPr>
        <w:spacing w:after="30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
              <w:left w:val="single" w:color="1B4F72" w:sz="1"/>
              <w:bottom w:val="single" w:color="1B4F72" w:sz="1"/>
              <w:right w:val="single" w:color="1B4F72" w:sz="1"/>
            </w:tcBorders>
            <w:shd w:fill="FEF9E7" w:val="clear"/>
            <w:tcMar>
              <w:top w:type="dxa" w:w="140"/>
              <w:left w:type="dxa" w:w="240"/>
              <w:bottom w:type="dxa" w:w="140"/>
              <w:right w:type="dxa" w:w="240"/>
            </w:tcMar>
          </w:tcPr>
          <w:p>
            <w:pPr>
              <w:spacing w:after="60" w:before="60"/>
            </w:pPr>
            <w:r>
              <w:rPr>
                <w:rFonts w:ascii="Arial" w:cs="Arial" w:eastAsia="Arial" w:hAnsi="Arial"/>
                <w:b/>
                <w:bCs/>
                <w:color w:val="7D6608"/>
                <w:sz w:val="22"/>
                <w:szCs w:val="22"/>
              </w:rPr>
              <w:t xml:space="preserve">📌 A chi è rivolto questo report?</w:t>
            </w:r>
          </w:p>
          <w:p>
            <w:pPr>
              <w:spacing w:after="30" w:before="30"/>
              <w:jc w:val="both"/>
            </w:pPr>
            <w:r>
              <w:rPr>
                <w:rFonts w:ascii="Arial" w:cs="Arial" w:eastAsia="Arial" w:hAnsi="Arial"/>
                <w:sz w:val="21"/>
                <w:szCs w:val="21"/>
              </w:rPr>
              <w:t xml:space="preserve">Questo documento è pensato per chi vuole capire il lavoro scientifico svolto dal gruppo di Fisica Medica dell’INFN-LNS di Catania senza necessariamente avere una formazione specialistica in fisica delle radiazioni o dosimetria.</w:t>
            </w:r>
          </w:p>
          <w:p>
            <w:pPr>
              <w:spacing w:after="30" w:before="30"/>
              <w:jc w:val="both"/>
            </w:pPr>
            <w:r>
              <w:rPr>
                <w:rFonts w:ascii="Arial" w:cs="Arial" w:eastAsia="Arial" w:hAnsi="Arial"/>
                <w:sz w:val="21"/>
                <w:szCs w:val="21"/>
              </w:rPr>
              <w:t xml:space="preserve"/>
            </w:r>
          </w:p>
          <w:p>
            <w:pPr>
              <w:spacing w:after="30" w:before="30"/>
              <w:jc w:val="both"/>
            </w:pPr>
            <w:r>
              <w:rPr>
                <w:rFonts w:ascii="Arial" w:cs="Arial" w:eastAsia="Arial" w:hAnsi="Arial"/>
                <w:sz w:val="21"/>
                <w:szCs w:val="21"/>
              </w:rPr>
              <w:t xml:space="preserve">Ogni capitolo introduce i concetti fondamentali necessari alla comprensione, prima di entrare nel dettaglio tecnico dei singoli studi. Un glossario ragionato è incluso nella sezione introduttiva.</w:t>
            </w:r>
          </w:p>
          <w:p>
            <w:pPr>
              <w:spacing w:after="30" w:before="30"/>
              <w:jc w:val="both"/>
            </w:pPr>
            <w:r>
              <w:rPr>
                <w:rFonts w:ascii="Arial" w:cs="Arial" w:eastAsia="Arial" w:hAnsi="Arial"/>
                <w:sz w:val="21"/>
                <w:szCs w:val="21"/>
              </w:rPr>
              <w:t xml:space="preserve"/>
            </w:r>
          </w:p>
          <w:p>
            <w:pPr>
              <w:spacing w:after="30" w:before="30"/>
              <w:jc w:val="both"/>
            </w:pPr>
            <w:r>
              <w:rPr>
                <w:rFonts w:ascii="Arial" w:cs="Arial" w:eastAsia="Arial" w:hAnsi="Arial"/>
                <w:sz w:val="21"/>
                <w:szCs w:val="21"/>
              </w:rPr>
              <w:t xml:space="preserve">I sei articoli scientifici analizzati coprono temi che vanno dalla qualità dei trattamenti radioterapici, ai nuovi rivelatori a semiconduttore, fino alle frontiere della radioterapia ultra-rapida (FLASH) e della biologia delle radiazioni.</w:t>
            </w:r>
          </w:p>
        </w:tc>
      </w:tr>
    </w:tbl>
    <w:p>
      <w:pPr>
        <w:spacing w:after="600" w:before="600"/>
      </w:pPr>
    </w:p>
    <w:p>
      <w:pPr>
        <w:spacing w:after="0" w:before="0"/>
      </w:pPr>
      <w:r>
        <w:br w:type="page"/>
      </w:r>
    </w:p>
    <w:p>
      <w:pPr>
        <w:pStyle w:val="Heading1"/>
        <w:spacing w:after="200" w:before="400"/>
      </w:pPr>
      <w:r>
        <w:rPr>
          <w:rFonts w:ascii="Arial" w:cs="Arial" w:eastAsia="Arial" w:hAnsi="Arial"/>
          <w:b/>
          <w:bCs/>
          <w:color w:val="1B4F72"/>
          <w:sz w:val="34"/>
          <w:szCs w:val="34"/>
        </w:rPr>
        <w:t xml:space="preserve">1. Contesto: Cos’è la Radioterapia e Perché è Complessa</w:t>
      </w:r>
    </w:p>
    <w:p>
      <w:pPr>
        <w:spacing w:after="60" w:before="60"/>
        <w:jc w:val="both"/>
      </w:pPr>
      <w:r>
        <w:rPr>
          <w:rFonts w:ascii="Arial" w:cs="Arial" w:eastAsia="Arial" w:hAnsi="Arial"/>
          <w:color w:val="000000"/>
          <w:sz w:val="22"/>
          <w:szCs w:val="22"/>
        </w:rPr>
        <w:t xml:space="preserve">La radioterapia è una delle principali modalità di trattamento dei tumori. Consiste nel dirigere radiazioni ionizzanti — raggi X, elettroni, protoni o ioni carbonio — verso un bersaglio tumorale con l’obiettivo di danneggiare il DNA delle cellule cancerose e impedirne la replicazione. La sfida fondamentale è depositare una dose sufficiente a uccidere il tumore, risparmiando allo stesso tempo i tessuti sani circostanti.</w:t>
      </w:r>
    </w:p>
    <w:p>
      <w:pPr>
        <w:spacing w:after="60" w:before="60"/>
      </w:pPr>
    </w:p>
    <w:p>
      <w:pPr>
        <w:spacing w:after="60" w:before="60"/>
        <w:jc w:val="both"/>
      </w:pPr>
      <w:r>
        <w:rPr>
          <w:rFonts w:ascii="Arial" w:cs="Arial" w:eastAsia="Arial" w:hAnsi="Arial"/>
          <w:color w:val="000000"/>
          <w:sz w:val="22"/>
          <w:szCs w:val="22"/>
        </w:rPr>
        <w:t xml:space="preserve">La fisica gioca un ruolo centrale in questo processo: capire come l’energia delle particelle si deposita nei tessuti, misurare con precisione la dose erogata, e sviluppare strumenti affidabili per il controllo qualità dei trattamenti è il cuore del lavoro dei fisici medici.</w:t>
      </w:r>
    </w:p>
    <w:p>
      <w:pPr>
        <w:spacing w:after="80" w:before="80"/>
      </w:pPr>
    </w:p>
    <w:p>
      <w:pPr>
        <w:pStyle w:val="Heading2"/>
        <w:spacing w:after="120" w:before="280"/>
      </w:pPr>
      <w:r>
        <w:rPr>
          <w:rFonts w:ascii="Arial" w:cs="Arial" w:eastAsia="Arial" w:hAnsi="Arial"/>
          <w:b/>
          <w:bCs/>
          <w:color w:val="2E74B5"/>
          <w:sz w:val="26"/>
          <w:szCs w:val="26"/>
        </w:rPr>
        <w:t xml:space="preserve">1.1 Protoni versus Raggi X: il Vantaggio Balistico</w:t>
      </w:r>
    </w:p>
    <w:p>
      <w:pPr>
        <w:spacing w:after="60" w:before="60"/>
        <w:jc w:val="both"/>
      </w:pPr>
      <w:r>
        <w:rPr>
          <w:rFonts w:ascii="Arial" w:cs="Arial" w:eastAsia="Arial" w:hAnsi="Arial"/>
          <w:color w:val="000000"/>
          <w:sz w:val="22"/>
          <w:szCs w:val="22"/>
        </w:rPr>
        <w:t xml:space="preserve">La radioterapia convenzionale utilizza raggi X (fotoni) ad alta energia. I raggi X attraversano il corpo depositando energia lungo tutto il percorso, sia prima che dopo il tumore. I protoni, invece, hanno una proprietà fisica eccezionale: depositano la maggior parte della loro energia in un punto preciso, chiamato picco di Bragg, e si fermano quasi completamente subito dopo. Questo significa che si può “calibrare” il fascio per fare esplodere la dose esattamente dove si trova il tumore, risparmiando le strutture sane che si trovano oltre.</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
              <w:left w:val="single" w:color="1B4F72" w:sz="1"/>
              <w:bottom w:val="single" w:color="1B4F72" w:sz="1"/>
              <w:right w:val="single" w:color="1B4F72" w:sz="1"/>
            </w:tcBorders>
            <w:shd w:fill="E8F8F5" w:val="clear"/>
            <w:tcMar>
              <w:top w:type="dxa" w:w="140"/>
              <w:left w:type="dxa" w:w="240"/>
              <w:bottom w:type="dxa" w:w="140"/>
              <w:right w:type="dxa" w:w="240"/>
            </w:tcMar>
          </w:tcPr>
          <w:p>
            <w:pPr>
              <w:spacing w:after="60" w:before="60"/>
            </w:pPr>
            <w:r>
              <w:rPr>
                <w:rFonts w:ascii="Arial" w:cs="Arial" w:eastAsia="Arial" w:hAnsi="Arial"/>
                <w:b/>
                <w:bCs/>
                <w:color w:val="1A5276"/>
                <w:sz w:val="22"/>
                <w:szCs w:val="22"/>
              </w:rPr>
              <w:t xml:space="preserve">Il Picco di Bragg — intuitivamente</w:t>
            </w:r>
          </w:p>
          <w:p>
            <w:pPr>
              <w:spacing w:after="30" w:before="30"/>
              <w:jc w:val="both"/>
            </w:pPr>
            <w:r>
              <w:rPr>
                <w:rFonts w:ascii="Arial" w:cs="Arial" w:eastAsia="Arial" w:hAnsi="Arial"/>
                <w:sz w:val="21"/>
                <w:szCs w:val="21"/>
              </w:rPr>
              <w:t xml:space="preserve">Immaginate di lanciare una pallina da tennis in una vasca d’acqua: rallenta progressivamente e si ferma. Analogamente, un protone perde energia via via che penetra nel tessuto, fino a quasi fermarsi. In quel punto di arresto si concentra la dissipazione massima di energia — il picco di Bragg. I fisici scelgono l’energia del fascio in modo che questo picco coincida con il volume tumorale.</w:t>
            </w:r>
          </w:p>
          <w:p>
            <w:pPr>
              <w:spacing w:after="30" w:before="30"/>
              <w:jc w:val="both"/>
            </w:pPr>
            <w:r>
              <w:rPr>
                <w:rFonts w:ascii="Arial" w:cs="Arial" w:eastAsia="Arial" w:hAnsi="Arial"/>
                <w:sz w:val="21"/>
                <w:szCs w:val="21"/>
              </w:rPr>
              <w:t xml:space="preserve"/>
            </w:r>
          </w:p>
          <w:p>
            <w:pPr>
              <w:spacing w:after="30" w:before="30"/>
              <w:jc w:val="both"/>
            </w:pPr>
            <w:r>
              <w:rPr>
                <w:rFonts w:ascii="Arial" w:cs="Arial" w:eastAsia="Arial" w:hAnsi="Arial"/>
                <w:sz w:val="21"/>
                <w:szCs w:val="21"/>
              </w:rPr>
              <w:t xml:space="preserve">I raggi X, al contrario, si comportano come la luce: vengono assorbiti gradualmente senza un punto di “frenata” netta, irradiando anche i tessuti oltre il bersaglio.</w:t>
            </w:r>
          </w:p>
        </w:tc>
      </w:tr>
    </w:tbl>
    <w:p>
      <w:pPr>
        <w:spacing w:after="80" w:before="80"/>
      </w:pPr>
    </w:p>
    <w:p>
      <w:pPr>
        <w:pStyle w:val="Heading2"/>
        <w:spacing w:after="120" w:before="280"/>
      </w:pPr>
      <w:r>
        <w:rPr>
          <w:rFonts w:ascii="Arial" w:cs="Arial" w:eastAsia="Arial" w:hAnsi="Arial"/>
          <w:b/>
          <w:bCs/>
          <w:color w:val="2E74B5"/>
          <w:sz w:val="26"/>
          <w:szCs w:val="26"/>
        </w:rPr>
        <w:t xml:space="preserve">1.2 Il Carburo di Silicio (SiC) come Rivelatore: Perché un Nuovo Materiale?</w:t>
      </w:r>
    </w:p>
    <w:p>
      <w:pPr>
        <w:spacing w:after="60" w:before="60"/>
        <w:jc w:val="both"/>
      </w:pPr>
      <w:r>
        <w:rPr>
          <w:rFonts w:ascii="Arial" w:cs="Arial" w:eastAsia="Arial" w:hAnsi="Arial"/>
          <w:color w:val="000000"/>
          <w:sz w:val="22"/>
          <w:szCs w:val="22"/>
        </w:rPr>
        <w:t xml:space="preserve">Misurare con precisione la dose erogata è fondamentale sia in clinica che in ricerca. I rivelatori classici — camere di ionizzazione, film, diodi di silicio — presentano limiti in termini di stabilità alle alte dosi di radiazione, dipendenza dalla temperatura e risposta non lineare. Il carburo di silicio (SiC, un semiconduttore a bandgap largo) è emerso come materiale candidato ideale per superare questi limiti, grazie a proprietà fisiche eccezionali.</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
              <w:left w:val="single" w:color="1B4F72" w:sz="1"/>
              <w:bottom w:val="single" w:color="1B4F72" w:sz="1"/>
              <w:right w:val="single" w:color="1B4F72" w:sz="1"/>
            </w:tcBorders>
            <w:shd w:fill="EAFAF1" w:val="clear"/>
            <w:tcMar>
              <w:top w:type="dxa" w:w="140"/>
              <w:left w:type="dxa" w:w="240"/>
              <w:bottom w:type="dxa" w:w="140"/>
              <w:right w:type="dxa" w:w="240"/>
            </w:tcMar>
          </w:tcPr>
          <w:p>
            <w:pPr>
              <w:spacing w:after="60" w:before="60"/>
            </w:pPr>
            <w:r>
              <w:rPr>
                <w:rFonts w:ascii="Arial" w:cs="Arial" w:eastAsia="Arial" w:hAnsi="Arial"/>
                <w:b/>
                <w:bCs/>
                <w:color w:val="1E8449"/>
                <w:sz w:val="22"/>
                <w:szCs w:val="22"/>
              </w:rPr>
              <w:t xml:space="preserve">Perché il SiC è speciale per la dosimetria?</w:t>
            </w:r>
          </w:p>
          <w:p>
            <w:pPr>
              <w:spacing w:after="30" w:before="30"/>
              <w:jc w:val="both"/>
            </w:pPr>
            <w:r>
              <w:rPr>
                <w:rFonts w:ascii="Arial" w:cs="Arial" w:eastAsia="Arial" w:hAnsi="Arial"/>
                <w:sz w:val="21"/>
                <w:szCs w:val="21"/>
              </w:rPr>
              <w:t xml:space="preserve">•  Bandgap largo (~3.26 eV): significa che pochissimi elettroni vengono eccitati termicamente, quindi la corrente spontanea (rumore di fondo) è minimale — il segnale è molto più pulito.</w:t>
            </w:r>
          </w:p>
          <w:p>
            <w:pPr>
              <w:spacing w:after="30" w:before="30"/>
              <w:jc w:val="both"/>
            </w:pPr>
            <w:r>
              <w:rPr>
                <w:rFonts w:ascii="Arial" w:cs="Arial" w:eastAsia="Arial" w:hAnsi="Arial"/>
                <w:sz w:val="21"/>
                <w:szCs w:val="21"/>
              </w:rPr>
              <w:t xml:space="preserve">•  Alta durabilità alle radiazioni: il SiC resiste molto meglio del silicio classico ai danni da irraggiamento prolungato.</w:t>
            </w:r>
          </w:p>
          <w:p>
            <w:pPr>
              <w:spacing w:after="30" w:before="30"/>
              <w:jc w:val="both"/>
            </w:pPr>
            <w:r>
              <w:rPr>
                <w:rFonts w:ascii="Arial" w:cs="Arial" w:eastAsia="Arial" w:hAnsi="Arial"/>
                <w:sz w:val="21"/>
                <w:szCs w:val="21"/>
              </w:rPr>
              <w:t xml:space="preserve">•  Quasi-equivalenza tissutale: la sua densità elettronica è vicina a quella dei tessuti biologici, riducendo le correzioni necessarie nella misura della dose.</w:t>
            </w:r>
          </w:p>
          <w:p>
            <w:pPr>
              <w:spacing w:after="30" w:before="30"/>
              <w:jc w:val="both"/>
            </w:pPr>
            <w:r>
              <w:rPr>
                <w:rFonts w:ascii="Arial" w:cs="Arial" w:eastAsia="Arial" w:hAnsi="Arial"/>
                <w:sz w:val="21"/>
                <w:szCs w:val="21"/>
              </w:rPr>
              <w:t xml:space="preserve">•  Alta mobilità dei portatori di carica: garantisce una raccolta efficiente e veloce della carica generata dalla radiazione.</w:t>
            </w:r>
          </w:p>
          <w:p>
            <w:pPr>
              <w:spacing w:after="30" w:before="30"/>
              <w:jc w:val="both"/>
            </w:pPr>
            <w:r>
              <w:rPr>
                <w:rFonts w:ascii="Arial" w:cs="Arial" w:eastAsia="Arial" w:hAnsi="Arial"/>
                <w:sz w:val="21"/>
                <w:szCs w:val="21"/>
              </w:rPr>
              <w:t xml:space="preserve">•  Piccola dimensione: un rivelatore SiC può essere costruito con volumi sensibili di pochi microlitri, garantendo altissima risoluzione spaziale.</w:t>
            </w:r>
          </w:p>
        </w:tc>
      </w:tr>
    </w:tbl>
    <w:p>
      <w:pPr>
        <w:spacing w:after="80" w:before="80"/>
      </w:pPr>
    </w:p>
    <w:p>
      <w:pPr>
        <w:pStyle w:val="Heading2"/>
        <w:spacing w:after="120" w:before="280"/>
      </w:pPr>
      <w:r>
        <w:rPr>
          <w:rFonts w:ascii="Arial" w:cs="Arial" w:eastAsia="Arial" w:hAnsi="Arial"/>
          <w:b/>
          <w:bCs/>
          <w:color w:val="2E74B5"/>
          <w:sz w:val="26"/>
          <w:szCs w:val="26"/>
        </w:rPr>
        <w:t xml:space="preserve">1.3 FLASH Radiotherapy: la Frontiera Ultra-Rapida</w:t>
      </w:r>
    </w:p>
    <w:p>
      <w:pPr>
        <w:spacing w:after="60" w:before="60"/>
        <w:jc w:val="both"/>
      </w:pPr>
      <w:r>
        <w:rPr>
          <w:rFonts w:ascii="Arial" w:cs="Arial" w:eastAsia="Arial" w:hAnsi="Arial"/>
          <w:color w:val="000000"/>
          <w:sz w:val="22"/>
          <w:szCs w:val="22"/>
        </w:rPr>
        <w:t xml:space="preserve">La FLASH radiotherapy (FLASH-RT) è una delle scoperte più entusiasmanti dell’oncologia degli ultimi anni. Studi preclinici hanno dimostrato che somministrare la dose di radiazioni in tempi brevissimi — dosi superiori a 40 Gy in frazioni di secondo, ovvero a dose rate ≥ 40 Gy/s — produce un effetto tumoricida simile alla radioterapia tradizionale, ma con una tossicità drammaticamente inferiore sui tessuti sani.</w:t>
      </w:r>
    </w:p>
    <w:p>
      <w:pPr>
        <w:spacing w:after="40" w:before="40"/>
      </w:pPr>
    </w:p>
    <w:p>
      <w:pPr>
        <w:spacing w:after="60" w:before="60"/>
        <w:jc w:val="both"/>
      </w:pPr>
      <w:r>
        <w:rPr>
          <w:rFonts w:ascii="Arial" w:cs="Arial" w:eastAsia="Arial" w:hAnsi="Arial"/>
          <w:color w:val="000000"/>
          <w:sz w:val="22"/>
          <w:szCs w:val="22"/>
        </w:rPr>
        <w:t xml:space="preserve">Il meccanismo esatto non è ancora completamente compreso, ma si ipotizza che le alte dosi istantanee esauriscano rapidamente l’ossigeno nei tessuti sani, rendendoli temporaneamente radioresistenti, mentre le cellule tumorali — già in condizioni di ipossia cronica — continuano ad essere danneggiate. Il problema tecnico principale è che le apparecchiature e i sistemi dosimetrici standard non sono progettati per regimi di dose rate così estremi.</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
              <w:left w:val="single" w:color="1B4F72" w:sz="1"/>
              <w:bottom w:val="single" w:color="1B4F72" w:sz="1"/>
              <w:right w:val="single" w:color="1B4F72" w:sz="1"/>
            </w:tcBorders>
            <w:shd w:fill="FEF9E7" w:val="clear"/>
            <w:tcMar>
              <w:top w:type="dxa" w:w="140"/>
              <w:left w:type="dxa" w:w="240"/>
              <w:bottom w:type="dxa" w:w="140"/>
              <w:right w:type="dxa" w:w="240"/>
            </w:tcMar>
          </w:tcPr>
          <w:p>
            <w:pPr>
              <w:spacing w:after="60" w:before="60"/>
            </w:pPr>
            <w:r>
              <w:rPr>
                <w:rFonts w:ascii="Arial" w:cs="Arial" w:eastAsia="Arial" w:hAnsi="Arial"/>
                <w:b/>
                <w:bCs/>
                <w:color w:val="7D6608"/>
                <w:sz w:val="22"/>
                <w:szCs w:val="22"/>
              </w:rPr>
              <w:t xml:space="preserve">Un esempio per capire i numeri</w:t>
            </w:r>
          </w:p>
          <w:p>
            <w:pPr>
              <w:spacing w:after="30" w:before="30"/>
              <w:jc w:val="both"/>
            </w:pPr>
            <w:r>
              <w:rPr>
                <w:rFonts w:ascii="Arial" w:cs="Arial" w:eastAsia="Arial" w:hAnsi="Arial"/>
                <w:sz w:val="21"/>
                <w:szCs w:val="21"/>
              </w:rPr>
              <w:t xml:space="preserve">In una seduta di radioterapia convenzionale si erogano tipicamente 2 Gy in circa 2–5 minuti — un dose rate di ~0.01 Gy/s. In FLASH-RT si erogano dosi comparabili o superiori in meno di 1 secondo, raggiungendo dose rate di 20–230 Gy/s. È come confrontare un rubinetto che gocciola con un idrante aperto: la quantità totale d’acqua può essere simile, ma la dinamica cambia tutto.</w:t>
            </w:r>
          </w:p>
        </w:tc>
      </w:tr>
    </w:tbl>
    <w:p>
      <w:pPr>
        <w:spacing w:after="80" w:before="80"/>
      </w:pPr>
    </w:p>
    <w:p>
      <w:pPr>
        <w:pStyle w:val="Heading2"/>
        <w:spacing w:after="120" w:before="280"/>
      </w:pPr>
      <w:r>
        <w:rPr>
          <w:rFonts w:ascii="Arial" w:cs="Arial" w:eastAsia="Arial" w:hAnsi="Arial"/>
          <w:b/>
          <w:bCs/>
          <w:color w:val="2E74B5"/>
          <w:sz w:val="26"/>
          <w:szCs w:val="26"/>
        </w:rPr>
        <w:t xml:space="preserve">1.4 Microdosimetria e Efficacia Biologica Relativa (RBE)</w:t>
      </w:r>
    </w:p>
    <w:p>
      <w:pPr>
        <w:spacing w:after="60" w:before="60"/>
        <w:jc w:val="both"/>
      </w:pPr>
      <w:r>
        <w:rPr>
          <w:rFonts w:ascii="Arial" w:cs="Arial" w:eastAsia="Arial" w:hAnsi="Arial"/>
          <w:color w:val="000000"/>
          <w:sz w:val="22"/>
          <w:szCs w:val="22"/>
        </w:rPr>
        <w:t xml:space="preserve">Un aspetto critico della prototerapia è che protoni e ioni non sono tutti uguali dal punto di vista biologico. A parità di dose fisica assorbita (misurata in Gray, Gy), diversi tipi di radiazione causano quantità di danni biologici diversi. Questo rapporto si chiama Efficacia Biologica Relativa (RBE, Relative Biological Effectiveness).</w:t>
      </w:r>
    </w:p>
    <w:p>
      <w:pPr>
        <w:spacing w:after="40" w:before="40"/>
      </w:pPr>
    </w:p>
    <w:p>
      <w:pPr>
        <w:spacing w:after="60" w:before="60"/>
        <w:jc w:val="both"/>
      </w:pPr>
      <w:r>
        <w:rPr>
          <w:rFonts w:ascii="Arial" w:cs="Arial" w:eastAsia="Arial" w:hAnsi="Arial"/>
          <w:color w:val="000000"/>
          <w:sz w:val="22"/>
          <w:szCs w:val="22"/>
        </w:rPr>
        <w:t xml:space="preserve">La microdosimetria è la disciplina che studia la deposizione di energia a scala cellulare e sub-cellulare, misurando la distribuzione statistica dell’energia ceduta in piccoli volumi di dimensioni comparabili a quelle di una cellula o del suo nucleo. Questi dati permettono di stimare l’RBE in modo molto più preciso rispetto ai modelli tradizionali, contribuendo a un’ottimizzazione radiobiologica del piano di trattamento.</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
              <w:left w:val="single" w:color="1B4F72" w:sz="1"/>
              <w:bottom w:val="single" w:color="1B4F72" w:sz="1"/>
              <w:right w:val="single" w:color="1B4F72" w:sz="1"/>
            </w:tcBorders>
            <w:shd w:fill="FDEDEC" w:val="clear"/>
            <w:tcMar>
              <w:top w:type="dxa" w:w="140"/>
              <w:left w:type="dxa" w:w="240"/>
              <w:bottom w:type="dxa" w:w="140"/>
              <w:right w:type="dxa" w:w="240"/>
            </w:tcMar>
          </w:tcPr>
          <w:p>
            <w:pPr>
              <w:spacing w:after="60" w:before="60"/>
            </w:pPr>
            <w:r>
              <w:rPr>
                <w:rFonts w:ascii="Arial" w:cs="Arial" w:eastAsia="Arial" w:hAnsi="Arial"/>
                <w:b/>
                <w:bCs/>
                <w:color w:val="922B21"/>
                <w:sz w:val="22"/>
                <w:szCs w:val="22"/>
              </w:rPr>
              <w:t xml:space="preserve">Perché l’RBE conta nella clinica</w:t>
            </w:r>
          </w:p>
          <w:p>
            <w:pPr>
              <w:spacing w:after="30" w:before="30"/>
              <w:jc w:val="both"/>
            </w:pPr>
            <w:r>
              <w:rPr>
                <w:rFonts w:ascii="Arial" w:cs="Arial" w:eastAsia="Arial" w:hAnsi="Arial"/>
                <w:sz w:val="21"/>
                <w:szCs w:val="21"/>
              </w:rPr>
              <w:t xml:space="preserve">I piani di trattamento di prototerapia usano tipicamente un valore fisso di RBE = 1.1 per i protoni. Ma questo è una semplificazione: l’RBE reale varia con l’energia locale del fascio, la profondità nel tessuto e il tipo di cellule. Vicino al picco di Bragg, dove i protoni si stanno fermando, l’RBE può essere significativamente più alto. Sovrastimare o sottostimare l’RBE può portare a un’ipo o iper-irradiazione del bersaglio. I microdosimetri misurano direttamente le distribuzioni di energia necessarie a calcolare l’RBE localmente.</w:t>
            </w:r>
          </w:p>
        </w:tc>
      </w:tr>
    </w:tbl>
    <w:p>
      <w:pPr>
        <w:spacing w:after="80" w:before="80"/>
      </w:pPr>
    </w:p>
    <w:p>
      <w:pPr>
        <w:spacing w:after="0" w:before="0"/>
      </w:pPr>
      <w:r>
        <w:br w:type="page"/>
      </w:r>
    </w:p>
    <w:p>
      <w:pPr>
        <w:pStyle w:val="Heading1"/>
        <w:spacing w:after="200" w:before="400"/>
      </w:pPr>
      <w:r>
        <w:rPr>
          <w:rFonts w:ascii="Arial" w:cs="Arial" w:eastAsia="Arial" w:hAnsi="Arial"/>
          <w:b/>
          <w:bCs/>
          <w:color w:val="1B4F72"/>
          <w:sz w:val="34"/>
          <w:szCs w:val="34"/>
        </w:rPr>
        <w:t xml:space="preserve">2. Il Gruppo di Ricerca e l’Infrastruttura</w:t>
      </w:r>
    </w:p>
    <w:p>
      <w:pPr>
        <w:spacing w:after="60" w:before="60"/>
        <w:jc w:val="both"/>
      </w:pPr>
      <w:r>
        <w:rPr>
          <w:rFonts w:ascii="Arial" w:cs="Arial" w:eastAsia="Arial" w:hAnsi="Arial"/>
          <w:color w:val="000000"/>
          <w:sz w:val="22"/>
          <w:szCs w:val="22"/>
        </w:rPr>
        <w:t xml:space="preserve">Tutti e sei i lavori analizzati in questo report sono stati prodotti, integralmente o in parte prevalente, presso i Laboratori Nazionali del Sud dell’Istituto Nazionale di Fisica Nucleare (INFN-LNS) di Catania, situati in Via S. Sofia 62.</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Istituzione principale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sz w:val="20"/>
                <w:szCs w:val="20"/>
              </w:rPr>
              <w:t xml:space="preserve">INFN – Laboratori Nazionali del Sud, Catania</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Coordinatore scientifico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sz w:val="20"/>
                <w:szCs w:val="20"/>
              </w:rPr>
              <w:t xml:space="preserve">Prof. G.A.P. Cirrone (primo o ultimo autore in tutti i lavori)</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Figura centrale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sz w:val="20"/>
                <w:szCs w:val="20"/>
              </w:rPr>
              <w:t xml:space="preserve">Dr.ssa G. Petringa (primo autore in 4 dei 6 lavori; corrispondente in tutti)</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Infrastruttura chiave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sz w:val="20"/>
                <w:szCs w:val="20"/>
              </w:rPr>
              <w:t xml:space="preserve">Ciclotrone superconduttore che accelera protoni a 62 MeV per la struttura CATANA — il primo centro italiano di prototerapia degli occhi (attivo dal 2002)</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Collaborazioni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sz w:val="20"/>
                <w:szCs w:val="20"/>
              </w:rPr>
              <w:t xml:space="preserve">INFN-TIFPA Trento, Univ. Roma Tor Vergata, Univ. Catania, AOU Policlinico Catania, Toret Devices (Torino), ELI-Beamlines (Praga)</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Arco temporale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sz w:val="20"/>
                <w:szCs w:val="20"/>
              </w:rPr>
              <w:t xml:space="preserve">2020–2026</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Riviste principali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sz w:val="20"/>
                <w:szCs w:val="20"/>
              </w:rPr>
              <w:t xml:space="preserve">Physica Medica, Applied Sciences, Journal of Instrumentation, Medical Physics</w:t>
            </w:r>
          </w:p>
        </w:tc>
      </w:tr>
    </w:tbl>
    <w:p>
      <w:pPr>
        <w:spacing w:after="80" w:before="80"/>
      </w:pPr>
    </w:p>
    <w:p>
      <w:pPr>
        <w:spacing w:after="60" w:before="60"/>
        <w:jc w:val="both"/>
      </w:pPr>
      <w:r>
        <w:rPr>
          <w:rFonts w:ascii="Arial" w:cs="Arial" w:eastAsia="Arial" w:hAnsi="Arial"/>
          <w:color w:val="000000"/>
          <w:sz w:val="22"/>
          <w:szCs w:val="22"/>
        </w:rPr>
        <w:t xml:space="preserve">La struttura CATANA (Centro di AdroTerapia e Applicazioni Nucleari Avanzate) rappresenta il contesto operativo principale dei lavori. Il fascio protonico da 62 MeV è utilizzato per la cura di melanomi oculari e, parallelamente, come laboratorio per la ricerca dosimetrica e radiobiologica. L’infrastruttura è unica in Italia per la sua combinazione di uso clinico diretto e capacità di ricerca di base applicata.</w:t>
      </w:r>
    </w:p>
    <w:p>
      <w:pPr>
        <w:spacing w:after="80" w:before="80"/>
      </w:pPr>
    </w:p>
    <w:p>
      <w:pPr>
        <w:spacing w:after="0" w:before="0"/>
      </w:pPr>
      <w:r>
        <w:br w:type="page"/>
      </w:r>
    </w:p>
    <w:p>
      <w:pPr>
        <w:pStyle w:val="Heading1"/>
        <w:spacing w:after="200" w:before="400"/>
      </w:pPr>
      <w:r>
        <w:rPr>
          <w:rFonts w:ascii="Arial" w:cs="Arial" w:eastAsia="Arial" w:hAnsi="Arial"/>
          <w:b/>
          <w:bCs/>
          <w:color w:val="1B4F72"/>
          <w:sz w:val="34"/>
          <w:szCs w:val="34"/>
        </w:rPr>
        <w:t xml:space="preserve">3. Panoramica dei Sei Articoli Scientifici</w:t>
      </w:r>
    </w:p>
    <w:p>
      <w:pPr>
        <w:spacing w:after="60" w:before="60"/>
        <w:jc w:val="both"/>
      </w:pPr>
      <w:r>
        <w:rPr>
          <w:rFonts w:ascii="Arial" w:cs="Arial" w:eastAsia="Arial" w:hAnsi="Arial"/>
          <w:color w:val="000000"/>
          <w:sz w:val="22"/>
          <w:szCs w:val="22"/>
        </w:rPr>
        <w:t xml:space="preserve">I sei lavori possono essere raggruppati in tre filoni tematici principali, tra loro strettamente interconnessi:</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
              <w:left w:val="single" w:color="1B4F72" w:sz="1"/>
              <w:bottom w:val="single" w:color="1B4F72" w:sz="1"/>
              <w:right w:val="single" w:color="1B4F72" w:sz="1"/>
            </w:tcBorders>
            <w:shd w:fill="F2F3F4" w:val="clear"/>
            <w:tcMar>
              <w:top w:type="dxa" w:w="140"/>
              <w:left w:type="dxa" w:w="240"/>
              <w:bottom w:type="dxa" w:w="140"/>
              <w:right w:type="dxa" w:w="240"/>
            </w:tcMar>
          </w:tcPr>
          <w:p>
            <w:pPr>
              <w:spacing w:after="60" w:before="60"/>
            </w:pPr>
            <w:r>
              <w:rPr>
                <w:rFonts w:ascii="Arial" w:cs="Arial" w:eastAsia="Arial" w:hAnsi="Arial"/>
                <w:b/>
                <w:bCs/>
                <w:color w:val="2C3E50"/>
                <w:sz w:val="22"/>
                <w:szCs w:val="22"/>
              </w:rPr>
              <w:t xml:space="preserve">I tre filoni della ricerca</w:t>
            </w:r>
          </w:p>
          <w:p>
            <w:pPr>
              <w:spacing w:after="30" w:before="30"/>
              <w:jc w:val="both"/>
            </w:pPr>
            <w:r>
              <w:rPr>
                <w:rFonts w:ascii="Arial" w:cs="Arial" w:eastAsia="Arial" w:hAnsi="Arial"/>
                <w:sz w:val="21"/>
                <w:szCs w:val="21"/>
              </w:rPr>
              <w:t xml:space="preserve">🔵  FILONE A – Dosimetria e QA per fasci protonici clinici  (Documenti 1, 2, 4)</w:t>
            </w:r>
          </w:p>
          <w:p>
            <w:pPr>
              <w:spacing w:after="30" w:before="30"/>
              <w:jc w:val="both"/>
            </w:pPr>
            <w:r>
              <w:rPr>
                <w:rFonts w:ascii="Arial" w:cs="Arial" w:eastAsia="Arial" w:hAnsi="Arial"/>
                <w:sz w:val="21"/>
                <w:szCs w:val="21"/>
              </w:rPr>
              <w:t xml:space="preserve">       Sviluppo e validazione di sistemi per misurare e controllare la dose in trattamenti reali.</w:t>
            </w:r>
          </w:p>
          <w:p>
            <w:pPr>
              <w:spacing w:after="30" w:before="30"/>
              <w:jc w:val="both"/>
            </w:pPr>
            <w:r>
              <w:rPr>
                <w:rFonts w:ascii="Arial" w:cs="Arial" w:eastAsia="Arial" w:hAnsi="Arial"/>
                <w:sz w:val="21"/>
                <w:szCs w:val="21"/>
              </w:rPr>
              <w:t xml:space="preserve"/>
            </w:r>
          </w:p>
          <w:p>
            <w:pPr>
              <w:spacing w:after="30" w:before="30"/>
              <w:jc w:val="both"/>
            </w:pPr>
            <w:r>
              <w:rPr>
                <w:rFonts w:ascii="Arial" w:cs="Arial" w:eastAsia="Arial" w:hAnsi="Arial"/>
                <w:sz w:val="21"/>
                <w:szCs w:val="21"/>
              </w:rPr>
              <w:t xml:space="preserve">🟢  FILONE B – Caratterizzazione del rivelatore SiC p-n  (Documenti 3, 5)</w:t>
            </w:r>
          </w:p>
          <w:p>
            <w:pPr>
              <w:spacing w:after="30" w:before="30"/>
              <w:jc w:val="both"/>
            </w:pPr>
            <w:r>
              <w:rPr>
                <w:rFonts w:ascii="Arial" w:cs="Arial" w:eastAsia="Arial" w:hAnsi="Arial"/>
                <w:sz w:val="21"/>
                <w:szCs w:val="21"/>
              </w:rPr>
              <w:t xml:space="preserve">       Studio sistematico del carburo di silicio come nuovo dosimetro per raggi X e fotoni clinici.</w:t>
            </w:r>
          </w:p>
          <w:p>
            <w:pPr>
              <w:spacing w:after="30" w:before="30"/>
              <w:jc w:val="both"/>
            </w:pPr>
            <w:r>
              <w:rPr>
                <w:rFonts w:ascii="Arial" w:cs="Arial" w:eastAsia="Arial" w:hAnsi="Arial"/>
                <w:sz w:val="21"/>
                <w:szCs w:val="21"/>
              </w:rPr>
              <w:t xml:space="preserve"/>
            </w:r>
          </w:p>
          <w:p>
            <w:pPr>
              <w:spacing w:after="30" w:before="30"/>
              <w:jc w:val="both"/>
            </w:pPr>
            <w:r>
              <w:rPr>
                <w:rFonts w:ascii="Arial" w:cs="Arial" w:eastAsia="Arial" w:hAnsi="Arial"/>
                <w:sz w:val="21"/>
                <w:szCs w:val="21"/>
              </w:rPr>
              <w:t xml:space="preserve">🟡  FILONE C – SiC per microdosimetria e radiobiologia  (Documento 6)</w:t>
            </w:r>
          </w:p>
          <w:p>
            <w:pPr>
              <w:spacing w:after="30" w:before="30"/>
              <w:jc w:val="both"/>
            </w:pPr>
            <w:r>
              <w:rPr>
                <w:rFonts w:ascii="Arial" w:cs="Arial" w:eastAsia="Arial" w:hAnsi="Arial"/>
                <w:sz w:val="21"/>
                <w:szCs w:val="21"/>
              </w:rPr>
              <w:t xml:space="preserve">       Utilizzo del SiC per misure microdosimetriche in prototerapia e stima dell’RBE.</w:t>
            </w:r>
          </w:p>
        </w:tc>
      </w:tr>
    </w:tbl>
    <w:p>
      <w:pPr>
        <w:spacing w:after="60" w:before="60"/>
      </w:pPr>
    </w:p>
    <w:p>
      <w:pPr>
        <w:spacing w:after="60" w:before="60"/>
        <w:jc w:val="both"/>
      </w:pPr>
      <w:r>
        <w:rPr>
          <w:rFonts w:ascii="Arial" w:cs="Arial" w:eastAsia="Arial" w:hAnsi="Arial"/>
          <w:color w:val="000000"/>
          <w:sz w:val="22"/>
          <w:szCs w:val="22"/>
        </w:rPr>
        <w:t xml:space="preserve">Di seguito la scheda identificativa di ogni documento, seguita da un’analisi dettagliata.</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1B4F72" w:sz="1"/>
              <w:left w:val="single" w:color="1B4F72" w:sz="1"/>
              <w:bottom w:val="single" w:color="1B4F72" w:sz="1"/>
              <w:right w:val="single" w:color="1B4F72" w:sz="1"/>
            </w:tcBorders>
            <w:shd w:fill="1B4F72" w:val="clear"/>
            <w:tcMar>
              <w:top w:type="dxa" w:w="100"/>
              <w:left w:type="dxa" w:w="80"/>
              <w:bottom w:type="dxa" w:w="100"/>
              <w:right w:type="dxa" w:w="80"/>
            </w:tcMar>
          </w:tcPr>
          <w:p>
            <w:pPr>
              <w:jc w:val="center"/>
            </w:pPr>
            <w:r>
              <w:rPr>
                <w:rFonts w:ascii="Arial" w:cs="Arial" w:eastAsia="Arial" w:hAnsi="Arial"/>
                <w:b/>
                <w:bCs/>
                <w:color w:val="FFFFFF"/>
                <w:sz w:val="26"/>
                <w:szCs w:val="26"/>
              </w:rPr>
              <w:t xml:space="preserve">1</w:t>
            </w:r>
          </w:p>
        </w:tc>
        <w:tc>
          <w:tcPr>
            <w:tcW w:type="dxa" w:w="8680"/>
            <w:tcBorders>
              <w:top w:val="single" w:color="1B4F72" w:sz="1"/>
              <w:left w:val="single" w:color="1B4F72" w:sz="1"/>
              <w:bottom w:val="single" w:color="1B4F72" w:sz="1"/>
              <w:right w:val="single" w:color="1B4F72" w:sz="1"/>
            </w:tcBorders>
            <w:shd w:fill="D6E4F0" w:val="clear"/>
            <w:tcMar>
              <w:top w:type="dxa" w:w="100"/>
              <w:left w:type="dxa" w:w="180"/>
              <w:bottom w:type="dxa" w:w="100"/>
              <w:right w:type="dxa" w:w="120"/>
            </w:tcMar>
          </w:tcPr>
          <w:p>
            <w:r>
              <w:rPr>
                <w:rFonts w:ascii="Arial" w:cs="Arial" w:eastAsia="Arial" w:hAnsi="Arial"/>
                <w:b/>
                <w:bCs/>
                <w:color w:val="1B4F72"/>
                <w:sz w:val="22"/>
                <w:szCs w:val="22"/>
              </w:rPr>
              <w:t xml:space="preserve">Transversal dose profile reconstruction for clinical proton beams: A detectors inter-comparison</w:t>
            </w:r>
          </w:p>
          <w:p>
            <w:pPr>
              <w:spacing w:before="40"/>
            </w:pPr>
            <w:r>
              <w:rPr>
                <w:rFonts w:ascii="Arial" w:cs="Arial" w:eastAsia="Arial" w:hAnsi="Arial"/>
                <w:i/>
                <w:iCs/>
                <w:color w:val="444444"/>
                <w:sz w:val="19"/>
                <w:szCs w:val="19"/>
              </w:rPr>
              <w:t xml:space="preserve">R. Catalano, G. Petringa, G. Cuttone et al.</w:t>
            </w:r>
          </w:p>
          <w:p>
            <w:r>
              <w:rPr>
                <w:rFonts w:ascii="Arial" w:cs="Arial" w:eastAsia="Arial" w:hAnsi="Arial"/>
                <w:color w:val="666666"/>
                <w:sz w:val="19"/>
                <w:szCs w:val="19"/>
              </w:rPr>
              <w:t xml:space="preserve">Physica Medica, vol. 70, pp. 133–138 (2020)</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1B4F72" w:sz="1"/>
              <w:left w:val="single" w:color="1B4F72" w:sz="1"/>
              <w:bottom w:val="single" w:color="1B4F72" w:sz="1"/>
              <w:right w:val="single" w:color="1B4F72" w:sz="1"/>
            </w:tcBorders>
            <w:shd w:fill="1B4F72" w:val="clear"/>
            <w:tcMar>
              <w:top w:type="dxa" w:w="100"/>
              <w:left w:type="dxa" w:w="80"/>
              <w:bottom w:type="dxa" w:w="100"/>
              <w:right w:type="dxa" w:w="80"/>
            </w:tcMar>
          </w:tcPr>
          <w:p>
            <w:pPr>
              <w:jc w:val="center"/>
            </w:pPr>
            <w:r>
              <w:rPr>
                <w:rFonts w:ascii="Arial" w:cs="Arial" w:eastAsia="Arial" w:hAnsi="Arial"/>
                <w:b/>
                <w:bCs/>
                <w:color w:val="FFFFFF"/>
                <w:sz w:val="26"/>
                <w:szCs w:val="26"/>
              </w:rPr>
              <w:t xml:space="preserve">2</w:t>
            </w:r>
          </w:p>
        </w:tc>
        <w:tc>
          <w:tcPr>
            <w:tcW w:type="dxa" w:w="8680"/>
            <w:tcBorders>
              <w:top w:val="single" w:color="1B4F72" w:sz="1"/>
              <w:left w:val="single" w:color="1B4F72" w:sz="1"/>
              <w:bottom w:val="single" w:color="1B4F72" w:sz="1"/>
              <w:right w:val="single" w:color="1B4F72" w:sz="1"/>
            </w:tcBorders>
            <w:shd w:fill="D6E4F0" w:val="clear"/>
            <w:tcMar>
              <w:top w:type="dxa" w:w="100"/>
              <w:left w:type="dxa" w:w="180"/>
              <w:bottom w:type="dxa" w:w="100"/>
              <w:right w:type="dxa" w:w="120"/>
            </w:tcMar>
          </w:tcPr>
          <w:p>
            <w:r>
              <w:rPr>
                <w:rFonts w:ascii="Arial" w:cs="Arial" w:eastAsia="Arial" w:hAnsi="Arial"/>
                <w:b/>
                <w:bCs/>
                <w:color w:val="1B4F72"/>
                <w:sz w:val="22"/>
                <w:szCs w:val="22"/>
              </w:rPr>
              <w:t xml:space="preserve">On the Possibility to Use the Charge Imbalance in Patients Undergoing Radiotherapy: A New Online, In Vivo, Noninvasive Dose Monitoring System</w:t>
            </w:r>
          </w:p>
          <w:p>
            <w:pPr>
              <w:spacing w:before="40"/>
            </w:pPr>
            <w:r>
              <w:rPr>
                <w:rFonts w:ascii="Arial" w:cs="Arial" w:eastAsia="Arial" w:hAnsi="Arial"/>
                <w:i/>
                <w:iCs/>
                <w:color w:val="444444"/>
                <w:sz w:val="19"/>
                <w:szCs w:val="19"/>
              </w:rPr>
              <w:t xml:space="preserve">G.A.P. Cirrone, N. Amato, R. Catalano et al.</w:t>
            </w:r>
          </w:p>
          <w:p>
            <w:r>
              <w:rPr>
                <w:rFonts w:ascii="Arial" w:cs="Arial" w:eastAsia="Arial" w:hAnsi="Arial"/>
                <w:color w:val="666666"/>
                <w:sz w:val="19"/>
                <w:szCs w:val="19"/>
              </w:rPr>
              <w:t xml:space="preserve">Applied Sciences, 11, 7005 (2021)</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1B4F72" w:sz="1"/>
              <w:left w:val="single" w:color="1B4F72" w:sz="1"/>
              <w:bottom w:val="single" w:color="1B4F72" w:sz="1"/>
              <w:right w:val="single" w:color="1B4F72" w:sz="1"/>
            </w:tcBorders>
            <w:shd w:fill="1B4F72" w:val="clear"/>
            <w:tcMar>
              <w:top w:type="dxa" w:w="100"/>
              <w:left w:type="dxa" w:w="80"/>
              <w:bottom w:type="dxa" w:w="100"/>
              <w:right w:type="dxa" w:w="80"/>
            </w:tcMar>
          </w:tcPr>
          <w:p>
            <w:pPr>
              <w:jc w:val="center"/>
            </w:pPr>
            <w:r>
              <w:rPr>
                <w:rFonts w:ascii="Arial" w:cs="Arial" w:eastAsia="Arial" w:hAnsi="Arial"/>
                <w:b/>
                <w:bCs/>
                <w:color w:val="FFFFFF"/>
                <w:sz w:val="26"/>
                <w:szCs w:val="26"/>
              </w:rPr>
              <w:t xml:space="preserve">3</w:t>
            </w:r>
          </w:p>
        </w:tc>
        <w:tc>
          <w:tcPr>
            <w:tcW w:type="dxa" w:w="8680"/>
            <w:tcBorders>
              <w:top w:val="single" w:color="1B4F72" w:sz="1"/>
              <w:left w:val="single" w:color="1B4F72" w:sz="1"/>
              <w:bottom w:val="single" w:color="1B4F72" w:sz="1"/>
              <w:right w:val="single" w:color="1B4F72" w:sz="1"/>
            </w:tcBorders>
            <w:shd w:fill="D6E4F0" w:val="clear"/>
            <w:tcMar>
              <w:top w:type="dxa" w:w="100"/>
              <w:left w:type="dxa" w:w="180"/>
              <w:bottom w:type="dxa" w:w="100"/>
              <w:right w:type="dxa" w:w="120"/>
            </w:tcMar>
          </w:tcPr>
          <w:p>
            <w:r>
              <w:rPr>
                <w:rFonts w:ascii="Arial" w:cs="Arial" w:eastAsia="Arial" w:hAnsi="Arial"/>
                <w:b/>
                <w:bCs/>
                <w:color w:val="1B4F72"/>
                <w:sz w:val="22"/>
                <w:szCs w:val="22"/>
              </w:rPr>
              <w:t xml:space="preserve">Dosimetric characterization of a p-n silicon carbide detector under 320 kV X-ray irradiation</w:t>
            </w:r>
          </w:p>
          <w:p>
            <w:pPr>
              <w:spacing w:before="40"/>
            </w:pPr>
            <w:r>
              <w:rPr>
                <w:rFonts w:ascii="Arial" w:cs="Arial" w:eastAsia="Arial" w:hAnsi="Arial"/>
                <w:i/>
                <w:iCs/>
                <w:color w:val="444444"/>
                <w:sz w:val="19"/>
                <w:szCs w:val="19"/>
              </w:rPr>
              <w:t xml:space="preserve">G. Petringa, A. Kurmanova, M. Guarrera et al.</w:t>
            </w:r>
          </w:p>
          <w:p>
            <w:r>
              <w:rPr>
                <w:rFonts w:ascii="Arial" w:cs="Arial" w:eastAsia="Arial" w:hAnsi="Arial"/>
                <w:color w:val="666666"/>
                <w:sz w:val="19"/>
                <w:szCs w:val="19"/>
              </w:rPr>
              <w:t xml:space="preserve">Journal of Instrumentation (JINST), 20, C08019 (2025)</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1B4F72" w:sz="1"/>
              <w:left w:val="single" w:color="1B4F72" w:sz="1"/>
              <w:bottom w:val="single" w:color="1B4F72" w:sz="1"/>
              <w:right w:val="single" w:color="1B4F72" w:sz="1"/>
            </w:tcBorders>
            <w:shd w:fill="1B4F72" w:val="clear"/>
            <w:tcMar>
              <w:top w:type="dxa" w:w="100"/>
              <w:left w:type="dxa" w:w="80"/>
              <w:bottom w:type="dxa" w:w="100"/>
              <w:right w:type="dxa" w:w="80"/>
            </w:tcMar>
          </w:tcPr>
          <w:p>
            <w:pPr>
              <w:jc w:val="center"/>
            </w:pPr>
            <w:r>
              <w:rPr>
                <w:rFonts w:ascii="Arial" w:cs="Arial" w:eastAsia="Arial" w:hAnsi="Arial"/>
                <w:b/>
                <w:bCs/>
                <w:color w:val="FFFFFF"/>
                <w:sz w:val="26"/>
                <w:szCs w:val="26"/>
              </w:rPr>
              <w:t xml:space="preserve">4</w:t>
            </w:r>
          </w:p>
        </w:tc>
        <w:tc>
          <w:tcPr>
            <w:tcW w:type="dxa" w:w="8680"/>
            <w:tcBorders>
              <w:top w:val="single" w:color="1B4F72" w:sz="1"/>
              <w:left w:val="single" w:color="1B4F72" w:sz="1"/>
              <w:bottom w:val="single" w:color="1B4F72" w:sz="1"/>
              <w:right w:val="single" w:color="1B4F72" w:sz="1"/>
            </w:tcBorders>
            <w:shd w:fill="D6E4F0" w:val="clear"/>
            <w:tcMar>
              <w:top w:type="dxa" w:w="100"/>
              <w:left w:type="dxa" w:w="180"/>
              <w:bottom w:type="dxa" w:w="100"/>
              <w:right w:type="dxa" w:w="120"/>
            </w:tcMar>
          </w:tcPr>
          <w:p>
            <w:r>
              <w:rPr>
                <w:rFonts w:ascii="Arial" w:cs="Arial" w:eastAsia="Arial" w:hAnsi="Arial"/>
                <w:b/>
                <w:bCs/>
                <w:color w:val="1B4F72"/>
                <w:sz w:val="22"/>
                <w:szCs w:val="22"/>
              </w:rPr>
              <w:t xml:space="preserve">Design and validation of an integrated reference dosimetry and monitoring system for ultra-high dose-rate proton beams (20–230 Gy/s)</w:t>
            </w:r>
          </w:p>
          <w:p>
            <w:pPr>
              <w:spacing w:before="40"/>
            </w:pPr>
            <w:r>
              <w:rPr>
                <w:rFonts w:ascii="Arial" w:cs="Arial" w:eastAsia="Arial" w:hAnsi="Arial"/>
                <w:i/>
                <w:iCs/>
                <w:color w:val="444444"/>
                <w:sz w:val="19"/>
                <w:szCs w:val="19"/>
              </w:rPr>
              <w:t xml:space="preserve">G. Petringa, R. Catalano, A. Amato et al.</w:t>
            </w:r>
          </w:p>
          <w:p>
            <w:r>
              <w:rPr>
                <w:rFonts w:ascii="Arial" w:cs="Arial" w:eastAsia="Arial" w:hAnsi="Arial"/>
                <w:color w:val="666666"/>
                <w:sz w:val="19"/>
                <w:szCs w:val="19"/>
              </w:rPr>
              <w:t xml:space="preserve">Physica Medica, 138, 105187 (2025)</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1B4F72" w:sz="1"/>
              <w:left w:val="single" w:color="1B4F72" w:sz="1"/>
              <w:bottom w:val="single" w:color="1B4F72" w:sz="1"/>
              <w:right w:val="single" w:color="1B4F72" w:sz="1"/>
            </w:tcBorders>
            <w:shd w:fill="1B4F72" w:val="clear"/>
            <w:tcMar>
              <w:top w:type="dxa" w:w="100"/>
              <w:left w:type="dxa" w:w="80"/>
              <w:bottom w:type="dxa" w:w="100"/>
              <w:right w:type="dxa" w:w="80"/>
            </w:tcMar>
          </w:tcPr>
          <w:p>
            <w:pPr>
              <w:jc w:val="center"/>
            </w:pPr>
            <w:r>
              <w:rPr>
                <w:rFonts w:ascii="Arial" w:cs="Arial" w:eastAsia="Arial" w:hAnsi="Arial"/>
                <w:b/>
                <w:bCs/>
                <w:color w:val="FFFFFF"/>
                <w:sz w:val="26"/>
                <w:szCs w:val="26"/>
              </w:rPr>
              <w:t xml:space="preserve">5</w:t>
            </w:r>
          </w:p>
        </w:tc>
        <w:tc>
          <w:tcPr>
            <w:tcW w:type="dxa" w:w="8680"/>
            <w:tcBorders>
              <w:top w:val="single" w:color="1B4F72" w:sz="1"/>
              <w:left w:val="single" w:color="1B4F72" w:sz="1"/>
              <w:bottom w:val="single" w:color="1B4F72" w:sz="1"/>
              <w:right w:val="single" w:color="1B4F72" w:sz="1"/>
            </w:tcBorders>
            <w:shd w:fill="D6E4F0" w:val="clear"/>
            <w:tcMar>
              <w:top w:type="dxa" w:w="100"/>
              <w:left w:type="dxa" w:w="180"/>
              <w:bottom w:type="dxa" w:w="100"/>
              <w:right w:type="dxa" w:w="120"/>
            </w:tcMar>
          </w:tcPr>
          <w:p>
            <w:r>
              <w:rPr>
                <w:rFonts w:ascii="Arial" w:cs="Arial" w:eastAsia="Arial" w:hAnsi="Arial"/>
                <w:b/>
                <w:bCs/>
                <w:color w:val="1B4F72"/>
                <w:sz w:val="22"/>
                <w:szCs w:val="22"/>
              </w:rPr>
              <w:t xml:space="preserve">Dosimetric Characterization of a Novel Silicon Carbide p-n Junction Detector under Clinical Photon Beams</w:t>
            </w:r>
          </w:p>
          <w:p>
            <w:pPr>
              <w:spacing w:before="40"/>
            </w:pPr>
            <w:r>
              <w:rPr>
                <w:rFonts w:ascii="Arial" w:cs="Arial" w:eastAsia="Arial" w:hAnsi="Arial"/>
                <w:i/>
                <w:iCs/>
                <w:color w:val="444444"/>
                <w:sz w:val="19"/>
                <w:szCs w:val="19"/>
              </w:rPr>
              <w:t xml:space="preserve">G. Petringa, C. Verona, M. Guarrera et al.</w:t>
            </w:r>
          </w:p>
          <w:p>
            <w:r>
              <w:rPr>
                <w:rFonts w:ascii="Arial" w:cs="Arial" w:eastAsia="Arial" w:hAnsi="Arial"/>
                <w:color w:val="666666"/>
                <w:sz w:val="19"/>
                <w:szCs w:val="19"/>
              </w:rPr>
              <w:t xml:space="preserve">Medical Physics (preprint) (2026)</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1B4F72" w:sz="1"/>
              <w:left w:val="single" w:color="1B4F72" w:sz="1"/>
              <w:bottom w:val="single" w:color="1B4F72" w:sz="1"/>
              <w:right w:val="single" w:color="1B4F72" w:sz="1"/>
            </w:tcBorders>
            <w:shd w:fill="1B4F72" w:val="clear"/>
            <w:tcMar>
              <w:top w:type="dxa" w:w="100"/>
              <w:left w:type="dxa" w:w="80"/>
              <w:bottom w:type="dxa" w:w="100"/>
              <w:right w:type="dxa" w:w="80"/>
            </w:tcMar>
          </w:tcPr>
          <w:p>
            <w:pPr>
              <w:jc w:val="center"/>
            </w:pPr>
            <w:r>
              <w:rPr>
                <w:rFonts w:ascii="Arial" w:cs="Arial" w:eastAsia="Arial" w:hAnsi="Arial"/>
                <w:b/>
                <w:bCs/>
                <w:color w:val="FFFFFF"/>
                <w:sz w:val="26"/>
                <w:szCs w:val="26"/>
              </w:rPr>
              <w:t xml:space="preserve">6</w:t>
            </w:r>
          </w:p>
        </w:tc>
        <w:tc>
          <w:tcPr>
            <w:tcW w:type="dxa" w:w="8680"/>
            <w:tcBorders>
              <w:top w:val="single" w:color="1B4F72" w:sz="1"/>
              <w:left w:val="single" w:color="1B4F72" w:sz="1"/>
              <w:bottom w:val="single" w:color="1B4F72" w:sz="1"/>
              <w:right w:val="single" w:color="1B4F72" w:sz="1"/>
            </w:tcBorders>
            <w:shd w:fill="D6E4F0" w:val="clear"/>
            <w:tcMar>
              <w:top w:type="dxa" w:w="100"/>
              <w:left w:type="dxa" w:w="180"/>
              <w:bottom w:type="dxa" w:w="100"/>
              <w:right w:type="dxa" w:w="120"/>
            </w:tcMar>
          </w:tcPr>
          <w:p>
            <w:r>
              <w:rPr>
                <w:rFonts w:ascii="Arial" w:cs="Arial" w:eastAsia="Arial" w:hAnsi="Arial"/>
                <w:b/>
                <w:bCs/>
                <w:color w:val="1B4F72"/>
                <w:sz w:val="22"/>
                <w:szCs w:val="22"/>
              </w:rPr>
              <w:t xml:space="preserve">Toward the use of Silicon Carbide based detector for protontherapy microdosimetry</w:t>
            </w:r>
          </w:p>
          <w:p>
            <w:pPr>
              <w:spacing w:before="40"/>
            </w:pPr>
            <w:r>
              <w:rPr>
                <w:rFonts w:ascii="Arial" w:cs="Arial" w:eastAsia="Arial" w:hAnsi="Arial"/>
                <w:i/>
                <w:iCs/>
                <w:color w:val="444444"/>
                <w:sz w:val="19"/>
                <w:szCs w:val="19"/>
              </w:rPr>
              <w:t xml:space="preserve">G. Petringa, C. Verona, R. Catalano et al.</w:t>
            </w:r>
          </w:p>
          <w:p>
            <w:r>
              <w:rPr>
                <w:rFonts w:ascii="Arial" w:cs="Arial" w:eastAsia="Arial" w:hAnsi="Arial"/>
                <w:color w:val="666666"/>
                <w:sz w:val="19"/>
                <w:szCs w:val="19"/>
              </w:rPr>
              <w:t xml:space="preserve">Physica Medica, 140, 105675 (2025)</w:t>
            </w:r>
          </w:p>
        </w:tc>
      </w:tr>
    </w:tbl>
    <w:p>
      <w:pPr>
        <w:spacing w:after="80" w:before="80"/>
      </w:pPr>
    </w:p>
    <w:p>
      <w:pPr>
        <w:spacing w:after="0" w:before="0"/>
      </w:pPr>
      <w:r>
        <w:br w:type="page"/>
      </w:r>
    </w:p>
    <w:p>
      <w:pPr>
        <w:pStyle w:val="Heading1"/>
        <w:spacing w:after="200" w:before="400"/>
      </w:pPr>
      <w:r>
        <w:rPr>
          <w:rFonts w:ascii="Arial" w:cs="Arial" w:eastAsia="Arial" w:hAnsi="Arial"/>
          <w:b/>
          <w:bCs/>
          <w:color w:val="1B4F72"/>
          <w:sz w:val="34"/>
          <w:szCs w:val="34"/>
        </w:rPr>
        <w:t xml:space="preserve">4. Analisi Dettagliata dei Documenti</w:t>
      </w:r>
    </w:p>
    <w:p>
      <w:pPr>
        <w:pStyle w:val="Heading2"/>
        <w:spacing w:after="120" w:before="280"/>
      </w:pPr>
      <w:r>
        <w:rPr>
          <w:rFonts w:ascii="Arial" w:cs="Arial" w:eastAsia="Arial" w:hAnsi="Arial"/>
          <w:b/>
          <w:bCs/>
          <w:color w:val="2E74B5"/>
          <w:sz w:val="26"/>
          <w:szCs w:val="26"/>
        </w:rPr>
        <w:t xml:space="preserve">4.1  Profili Trasversali di Dose in Prototerapia (Catalano et al., 2020)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
              <w:left w:val="single" w:color="1B4F72" w:sz="1"/>
              <w:bottom w:val="single" w:color="1B4F72" w:sz="1"/>
              <w:right w:val="single" w:color="1B4F72" w:sz="1"/>
            </w:tcBorders>
            <w:shd w:fill="E8F8F5" w:val="clear"/>
            <w:tcMar>
              <w:top w:type="dxa" w:w="140"/>
              <w:left w:type="dxa" w:w="240"/>
              <w:bottom w:type="dxa" w:w="140"/>
              <w:right w:type="dxa" w:w="240"/>
            </w:tcMar>
          </w:tcPr>
          <w:p>
            <w:pPr>
              <w:spacing w:after="60" w:before="60"/>
            </w:pPr>
            <w:r>
              <w:rPr>
                <w:rFonts w:ascii="Arial" w:cs="Arial" w:eastAsia="Arial" w:hAnsi="Arial"/>
                <w:b/>
                <w:bCs/>
                <w:color w:val="1A5276"/>
                <w:sz w:val="22"/>
                <w:szCs w:val="22"/>
              </w:rPr>
              <w:t xml:space="preserve">Di cosa si occupa questo lavoro, in breve</w:t>
            </w:r>
          </w:p>
          <w:p>
            <w:pPr>
              <w:spacing w:after="30" w:before="30"/>
              <w:jc w:val="both"/>
            </w:pPr>
            <w:r>
              <w:rPr>
                <w:rFonts w:ascii="Arial" w:cs="Arial" w:eastAsia="Arial" w:hAnsi="Arial"/>
                <w:sz w:val="21"/>
                <w:szCs w:val="21"/>
              </w:rPr>
              <w:t xml:space="preserve">Prima di trattare un paziente, il fisico medico deve verificare che il fascio di protoni abbia esattamente la forma e l’intensità corrette in ogni punto del piano trasversale (perpendicolare alla direzione del fascio). Questo controllo si chiama QA (Quality Assurance) del profilo trasversale.</w:t>
            </w:r>
          </w:p>
          <w:p>
            <w:pPr>
              <w:spacing w:after="30" w:before="30"/>
              <w:jc w:val="both"/>
            </w:pPr>
            <w:r>
              <w:rPr>
                <w:rFonts w:ascii="Arial" w:cs="Arial" w:eastAsia="Arial" w:hAnsi="Arial"/>
                <w:sz w:val="21"/>
                <w:szCs w:val="21"/>
              </w:rPr>
              <w:t xml:space="preserve">Il problema: esistono più tipi di rivelatori per questa misura — film, camere, scintillatori — e non tutti danno sempre lo stesso risultato. Questo lavoro confronta sistematicamente diversi strumenti per stabilire quale sia il più affidabile e pratico per l’uso quotidiano.</w:t>
            </w:r>
          </w:p>
        </w:tc>
      </w:tr>
    </w:tbl>
    <w:p>
      <w:pPr>
        <w:spacing w:after="60" w:before="60"/>
      </w:pPr>
    </w:p>
    <w:p>
      <w:pPr>
        <w:spacing w:after="80" w:before="200"/>
      </w:pPr>
      <w:r>
        <w:rPr>
          <w:rFonts w:ascii="Arial" w:cs="Arial" w:eastAsia="Arial" w:hAnsi="Arial"/>
          <w:b/>
          <w:bCs/>
          <w:color w:val="1F3864"/>
          <w:sz w:val="22"/>
          <w:szCs w:val="22"/>
        </w:rPr>
        <w:t xml:space="preserve">Il problema fisico: perché il profilo trasversale è importante</w:t>
      </w:r>
    </w:p>
    <w:p>
      <w:pPr>
        <w:spacing w:after="60" w:before="60"/>
        <w:jc w:val="both"/>
      </w:pPr>
      <w:r>
        <w:rPr>
          <w:rFonts w:ascii="Arial" w:cs="Arial" w:eastAsia="Arial" w:hAnsi="Arial"/>
          <w:color w:val="000000"/>
          <w:sz w:val="22"/>
          <w:szCs w:val="22"/>
        </w:rPr>
        <w:t xml:space="preserve">Un fascio di protoni ideale dovrebbe avere una distribuzione spaziale di dose ben definita nel piano perpendicolare alla direzione di propagazione: tipicamente gaussiana o a “piattello” con penombre controllate. Qualsiasi deviazione da questa forma ideale può significare che parte del tumore riceve meno dose del necessario (mancata sterilizzazione) oppure che tessuti sani adiacenti vengono irradiati in eccesso.</w:t>
      </w:r>
    </w:p>
    <w:p>
      <w:pPr>
        <w:spacing w:after="40" w:before="40"/>
      </w:pPr>
    </w:p>
    <w:p>
      <w:pPr>
        <w:spacing w:after="80" w:before="200"/>
      </w:pPr>
      <w:r>
        <w:rPr>
          <w:rFonts w:ascii="Arial" w:cs="Arial" w:eastAsia="Arial" w:hAnsi="Arial"/>
          <w:b/>
          <w:bCs/>
          <w:color w:val="1F3864"/>
          <w:sz w:val="22"/>
          <w:szCs w:val="22"/>
        </w:rPr>
        <w:t xml:space="preserve">I rivelatori messi a confronto</w:t>
      </w:r>
    </w:p>
    <w:p>
      <w:pPr>
        <w:spacing w:after="60" w:before="60"/>
        <w:jc w:val="both"/>
      </w:pPr>
      <w:r>
        <w:rPr>
          <w:rFonts w:ascii="Arial" w:cs="Arial" w:eastAsia="Arial" w:hAnsi="Arial"/>
          <w:color w:val="000000"/>
          <w:sz w:val="22"/>
          <w:szCs w:val="22"/>
        </w:rPr>
        <w:t xml:space="preserve">Lo studio confronta tre categorie principali di rivelatori:</w:t>
      </w:r>
    </w:p>
    <w:p>
      <w:pPr>
        <w:pStyle w:val="ListParagraph"/>
        <w:numPr>
          <w:ilvl w:val="0"/>
          <w:numId w:val="2"/>
        </w:numPr>
        <w:spacing w:after="40" w:before="40"/>
      </w:pPr>
      <w:r>
        <w:rPr>
          <w:rFonts w:ascii="Arial" w:cs="Arial" w:eastAsia="Arial" w:hAnsi="Arial"/>
          <w:b/>
          <w:bCs/>
          <w:sz w:val="22"/>
          <w:szCs w:val="22"/>
        </w:rPr>
        <w:t xml:space="preserve">Film radiocromici EBT3: </w:t>
      </w:r>
      <w:r>
        <w:rPr>
          <w:rFonts w:ascii="Arial" w:cs="Arial" w:eastAsia="Arial" w:hAnsi="Arial"/>
          <w:sz w:val="22"/>
          <w:szCs w:val="22"/>
        </w:rPr>
        <w:t xml:space="preserve">sono fogli plastici che cambiano colore in proporzione alla dose ricevuta. Vengono usati come riferimento “dorato” per la loro elevata risoluzione spaziale. Il limite è che richiedono tempo di sviluppo e analisi d’immagine e non forniscono risultati in tempo reale.</w:t>
      </w:r>
    </w:p>
    <w:p>
      <w:pPr>
        <w:pStyle w:val="ListParagraph"/>
        <w:numPr>
          <w:ilvl w:val="0"/>
          <w:numId w:val="2"/>
        </w:numPr>
        <w:spacing w:after="40" w:before="40"/>
      </w:pPr>
      <w:r>
        <w:rPr>
          <w:rFonts w:ascii="Arial" w:cs="Arial" w:eastAsia="Arial" w:hAnsi="Arial"/>
          <w:b/>
          <w:bCs/>
          <w:sz w:val="22"/>
          <w:szCs w:val="22"/>
        </w:rPr>
        <w:t xml:space="preserve">Dispositivi di controllo qualità commerciali: </w:t>
      </w:r>
      <w:r>
        <w:rPr>
          <w:rFonts w:ascii="Arial" w:cs="Arial" w:eastAsia="Arial" w:hAnsi="Arial"/>
          <w:sz w:val="22"/>
          <w:szCs w:val="22"/>
        </w:rPr>
        <w:t xml:space="preserve">camere di ionizzazione e array di diodi, che forniscono risultati immediati ma con risoluzione spaziale limitata.</w:t>
      </w:r>
    </w:p>
    <w:p>
      <w:pPr>
        <w:pStyle w:val="ListParagraph"/>
        <w:numPr>
          <w:ilvl w:val="0"/>
          <w:numId w:val="2"/>
        </w:numPr>
        <w:spacing w:after="40" w:before="40"/>
      </w:pPr>
      <w:r>
        <w:rPr>
          <w:rFonts w:ascii="Arial" w:cs="Arial" w:eastAsia="Arial" w:hAnsi="Arial"/>
          <w:b/>
          <w:bCs/>
          <w:sz w:val="22"/>
          <w:szCs w:val="22"/>
        </w:rPr>
        <w:t xml:space="preserve">Sistema di beam profiling INFN-LNS: </w:t>
      </w:r>
      <w:r>
        <w:rPr>
          <w:rFonts w:ascii="Arial" w:cs="Arial" w:eastAsia="Arial" w:hAnsi="Arial"/>
          <w:sz w:val="22"/>
          <w:szCs w:val="22"/>
        </w:rPr>
        <w:t xml:space="preserve">uno schermo scintillatore plastico da 1 mm di spessore, montato perpendicolarmente al fascio e accoppiato a un rivelatore CCD ad alta sensibilità in una scatola schermata dalla luce. Questo sistema è sviluppato internamente al gruppo.</w:t>
      </w:r>
    </w:p>
    <w:p>
      <w:pPr>
        <w:spacing w:after="60" w:before="60"/>
      </w:pPr>
    </w:p>
    <w:p>
      <w:pPr>
        <w:spacing w:after="80" w:before="200"/>
      </w:pPr>
      <w:r>
        <w:rPr>
          <w:rFonts w:ascii="Arial" w:cs="Arial" w:eastAsia="Arial" w:hAnsi="Arial"/>
          <w:b/>
          <w:bCs/>
          <w:color w:val="1F3864"/>
          <w:sz w:val="22"/>
          <w:szCs w:val="22"/>
        </w:rPr>
        <w:t xml:space="preserve">Come funziona lo scintillatore+CCD</w:t>
      </w:r>
    </w:p>
    <w:p>
      <w:pPr>
        <w:spacing w:after="60" w:before="60"/>
        <w:jc w:val="both"/>
      </w:pPr>
      <w:r>
        <w:rPr>
          <w:rFonts w:ascii="Arial" w:cs="Arial" w:eastAsia="Arial" w:hAnsi="Arial"/>
          <w:color w:val="000000"/>
          <w:sz w:val="22"/>
          <w:szCs w:val="22"/>
        </w:rPr>
        <w:t xml:space="preserve">Quando i protoni attraversano lo schermo plastico, cedono energia alle molecole fluorescenti del materiale. Queste emettono fotoni di luce visibile in quantità proporzionale alla dose locale. La fotocamera CCD cattura questa “luce di dose” con alta risoluzione spaziale in tutta l’area del fascio simultaneamente — un grande vantaggio rispetto alle camere puntiformi che devono essere spostate per mappare l’intera sezione.</w:t>
      </w:r>
    </w:p>
    <w:p>
      <w:pPr>
        <w:spacing w:after="60" w:before="60"/>
      </w:pPr>
    </w:p>
    <w:p>
      <w:pPr>
        <w:spacing w:after="80" w:before="200"/>
      </w:pPr>
      <w:r>
        <w:rPr>
          <w:rFonts w:ascii="Arial" w:cs="Arial" w:eastAsia="Arial" w:hAnsi="Arial"/>
          <w:b/>
          <w:bCs/>
          <w:color w:val="1F3864"/>
          <w:sz w:val="22"/>
          <w:szCs w:val="22"/>
        </w:rPr>
        <w:t xml:space="preserve">Risultati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Strutture testate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sz w:val="20"/>
                <w:szCs w:val="20"/>
              </w:rPr>
              <w:t xml:space="preserve">INFN-LNS Catania (62 MeV) e Trento Proton Therapy Center</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Accordo generale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sz w:val="20"/>
                <w:szCs w:val="20"/>
              </w:rPr>
              <w:t xml:space="preserve">Buon accordo tra tutti i rivelatori in entrambe le strutture</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Prestazioni del sistema INFN-LNS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sz w:val="20"/>
                <w:szCs w:val="20"/>
              </w:rPr>
              <w:t xml:space="preserve">Risposta lineare nel range di dose rate rilevante; alta risoluzione spaziale; breve tempo di acquisizione ed elaborazione</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Conclusione principale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sz w:val="20"/>
                <w:szCs w:val="20"/>
              </w:rPr>
              <w:t xml:space="preserve">Il beam profiling scintillatore+CCD è un candidato promettente per la QA 2D di routine in prototerapia</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
              <w:left w:val="single" w:color="1B4F72" w:sz="1"/>
              <w:bottom w:val="single" w:color="1B4F72" w:sz="1"/>
              <w:right w:val="single" w:color="1B4F72" w:sz="1"/>
            </w:tcBorders>
            <w:shd w:fill="FEF9E7" w:val="clear"/>
            <w:tcMar>
              <w:top w:type="dxa" w:w="140"/>
              <w:left w:type="dxa" w:w="240"/>
              <w:bottom w:type="dxa" w:w="140"/>
              <w:right w:type="dxa" w:w="240"/>
            </w:tcMar>
          </w:tcPr>
          <w:p>
            <w:pPr>
              <w:spacing w:after="60" w:before="60"/>
            </w:pPr>
            <w:r>
              <w:rPr>
                <w:rFonts w:ascii="Arial" w:cs="Arial" w:eastAsia="Arial" w:hAnsi="Arial"/>
                <w:b/>
                <w:bCs/>
                <w:color w:val="7D6608"/>
                <w:sz w:val="22"/>
                <w:szCs w:val="22"/>
              </w:rPr>
              <w:t xml:space="preserve">⚠️  Rilevanza clinica</w:t>
            </w:r>
          </w:p>
          <w:p>
            <w:pPr>
              <w:spacing w:after="30" w:before="30"/>
              <w:jc w:val="both"/>
            </w:pPr>
            <w:r>
              <w:rPr>
                <w:rFonts w:ascii="Arial" w:cs="Arial" w:eastAsia="Arial" w:hAnsi="Arial"/>
                <w:sz w:val="21"/>
                <w:szCs w:val="21"/>
              </w:rPr>
              <w:t xml:space="preserve">Avere un sistema di QA rapido e affidabile non è un dettaglio tecnico: significa che i fisici medici possono verificare la qualità del fascio ogni giorno, prima di ogni trattamento, in tempi brevi. Questo si traduce direttamente in maggiore sicurezza per il paziente.</w:t>
            </w:r>
          </w:p>
        </w:tc>
      </w:tr>
    </w:tbl>
    <w:p>
      <w:pPr>
        <w:pBdr>
          <w:bottom w:val="single" w:color="2E74B5" w:sz="4" w:space="1"/>
        </w:pBdr>
        <w:spacing w:after="140" w:before="140"/>
      </w:pPr>
    </w:p>
    <w:p>
      <w:pPr>
        <w:pStyle w:val="Heading2"/>
        <w:spacing w:after="120" w:before="280"/>
      </w:pPr>
      <w:r>
        <w:rPr>
          <w:rFonts w:ascii="Arial" w:cs="Arial" w:eastAsia="Arial" w:hAnsi="Arial"/>
          <w:b/>
          <w:bCs/>
          <w:color w:val="2E74B5"/>
          <w:sz w:val="26"/>
          <w:szCs w:val="26"/>
        </w:rPr>
        <w:t xml:space="preserve">4.2  Monitoraggio In Vivo con Charge Imbalance (Cirrone et al., 2021)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
              <w:left w:val="single" w:color="1B4F72" w:sz="1"/>
              <w:bottom w:val="single" w:color="1B4F72" w:sz="1"/>
              <w:right w:val="single" w:color="1B4F72" w:sz="1"/>
            </w:tcBorders>
            <w:shd w:fill="E8F8F5" w:val="clear"/>
            <w:tcMar>
              <w:top w:type="dxa" w:w="140"/>
              <w:left w:type="dxa" w:w="240"/>
              <w:bottom w:type="dxa" w:w="140"/>
              <w:right w:type="dxa" w:w="240"/>
            </w:tcMar>
          </w:tcPr>
          <w:p>
            <w:pPr>
              <w:spacing w:after="60" w:before="60"/>
            </w:pPr>
            <w:r>
              <w:rPr>
                <w:rFonts w:ascii="Arial" w:cs="Arial" w:eastAsia="Arial" w:hAnsi="Arial"/>
                <w:b/>
                <w:bCs/>
                <w:color w:val="1A5276"/>
                <w:sz w:val="22"/>
                <w:szCs w:val="22"/>
              </w:rPr>
              <w:t xml:space="preserve">Di cosa si occupa questo lavoro, in breve</w:t>
            </w:r>
          </w:p>
          <w:p>
            <w:pPr>
              <w:spacing w:after="30" w:before="30"/>
              <w:jc w:val="both"/>
            </w:pPr>
            <w:r>
              <w:rPr>
                <w:rFonts w:ascii="Arial" w:cs="Arial" w:eastAsia="Arial" w:hAnsi="Arial"/>
                <w:sz w:val="21"/>
                <w:szCs w:val="21"/>
              </w:rPr>
              <w:t xml:space="preserve">Ogni volta che un fascio di particelle cariche (come i protoni) attraversa un corpo, deposita carica elettrica nei tessuti. Questo lavoro sfrutta questo fenomeno fisico per misurare in tempo reale quanta dose sta ricevendo il paziente, senza inserire alcuno strumento all’interno del corpo.</w:t>
            </w:r>
          </w:p>
          <w:p>
            <w:pPr>
              <w:spacing w:after="30" w:before="30"/>
              <w:jc w:val="both"/>
            </w:pPr>
            <w:r>
              <w:rPr>
                <w:rFonts w:ascii="Arial" w:cs="Arial" w:eastAsia="Arial" w:hAnsi="Arial"/>
                <w:sz w:val="21"/>
                <w:szCs w:val="21"/>
              </w:rPr>
              <w:t xml:space="preserve">L’idea è elegante nella sua semplicita’: un elettrodo conduttivo a contatto con la pelle del paziente, posizionato fuori dal campo di irraggiamento, raccoglie la corrente residua che si distribuisce nell’intero volume corporeo irradiato.</w:t>
            </w:r>
          </w:p>
        </w:tc>
      </w:tr>
    </w:tbl>
    <w:p>
      <w:pPr>
        <w:spacing w:after="60" w:before="60"/>
      </w:pPr>
    </w:p>
    <w:p>
      <w:pPr>
        <w:spacing w:after="80" w:before="200"/>
      </w:pPr>
      <w:r>
        <w:rPr>
          <w:rFonts w:ascii="Arial" w:cs="Arial" w:eastAsia="Arial" w:hAnsi="Arial"/>
          <w:b/>
          <w:bCs/>
          <w:color w:val="1F3864"/>
          <w:sz w:val="22"/>
          <w:szCs w:val="22"/>
        </w:rPr>
        <w:t xml:space="preserve">Il problema: monitoraggio in vivo come requisito di sicurezza</w:t>
      </w:r>
    </w:p>
    <w:p>
      <w:pPr>
        <w:spacing w:after="60" w:before="60"/>
        <w:jc w:val="both"/>
      </w:pPr>
      <w:r>
        <w:rPr>
          <w:rFonts w:ascii="Arial" w:cs="Arial" w:eastAsia="Arial" w:hAnsi="Arial"/>
          <w:color w:val="000000"/>
          <w:sz w:val="22"/>
          <w:szCs w:val="22"/>
        </w:rPr>
        <w:t xml:space="preserve">La dosimetria in vivo (IVD, In Vivo Dosimetry) è un requisito regolatorio in molti centri di radioterapia. Serve a rilevare errori gravi nella consegna della dose, verificare che la dose pianificata corrisponda a quella realmente erogata al paziente e soddisfare i requisiti legali di qualità per ogni seduta.</w:t>
      </w:r>
    </w:p>
    <w:p>
      <w:pPr>
        <w:spacing w:after="40" w:before="40"/>
      </w:pPr>
    </w:p>
    <w:p>
      <w:pPr>
        <w:spacing w:after="60" w:before="60"/>
        <w:jc w:val="both"/>
      </w:pPr>
      <w:r>
        <w:rPr>
          <w:rFonts w:ascii="Arial" w:cs="Arial" w:eastAsia="Arial" w:hAnsi="Arial"/>
          <w:color w:val="000000"/>
          <w:sz w:val="22"/>
          <w:szCs w:val="22"/>
        </w:rPr>
        <w:t xml:space="preserve">I sistemi IVD tradizionali utilizzano piccoli rivelatori (MOSFET, TLD, diodi) inseriti in cavità corporee o applicati alla superficie del paziente all’interno del campo, con rischio di perturbazione del fascio e complessità logistica. Il sistema proposto in questo lavoro è invece completamente non invasivo e non perturbativo.</w:t>
      </w:r>
    </w:p>
    <w:p>
      <w:pPr>
        <w:spacing w:after="60" w:before="60"/>
      </w:pPr>
    </w:p>
    <w:p>
      <w:pPr>
        <w:spacing w:after="80" w:before="200"/>
      </w:pPr>
      <w:r>
        <w:rPr>
          <w:rFonts w:ascii="Arial" w:cs="Arial" w:eastAsia="Arial" w:hAnsi="Arial"/>
          <w:b/>
          <w:bCs/>
          <w:color w:val="1F3864"/>
          <w:sz w:val="22"/>
          <w:szCs w:val="22"/>
        </w:rPr>
        <w:t xml:space="preserve">Il principio fisico: charge imbalance</w:t>
      </w:r>
    </w:p>
    <w:p>
      <w:pPr>
        <w:spacing w:after="60" w:before="60"/>
        <w:jc w:val="both"/>
      </w:pPr>
      <w:r>
        <w:rPr>
          <w:rFonts w:ascii="Arial" w:cs="Arial" w:eastAsia="Arial" w:hAnsi="Arial"/>
          <w:color w:val="000000"/>
          <w:sz w:val="22"/>
          <w:szCs w:val="22"/>
        </w:rPr>
        <w:t xml:space="preserve">Quando un fascio di protoni entra nel corpo del paziente, le particelle cariche positivamente si fermano nei tessuti (al picco di Bragg), depositando carica positiva netta. Questa carica si distribuisce nel volume corporeo e viene raccolta da un elettrodo conduttivo esterno immerso in acqua o a contatto con la pelle. Misurando la corrente elettrica raccolta sull’elettrodo — proporzionale alla corrente del fascio incidente — si può stimare la dose erogata in tempo reale.</w:t>
      </w:r>
    </w:p>
    <w:p>
      <w:pPr>
        <w:spacing w:after="60" w:before="60"/>
      </w:pPr>
    </w:p>
    <w:p>
      <w:pPr>
        <w:spacing w:after="80" w:before="200"/>
      </w:pPr>
      <w:r>
        <w:rPr>
          <w:rFonts w:ascii="Arial" w:cs="Arial" w:eastAsia="Arial" w:hAnsi="Arial"/>
          <w:b/>
          <w:bCs/>
          <w:color w:val="1F3864"/>
          <w:sz w:val="22"/>
          <w:szCs w:val="22"/>
        </w:rPr>
        <w:t xml:space="preserve">Validazione sperimentale</w:t>
      </w:r>
    </w:p>
    <w:p>
      <w:pPr>
        <w:spacing w:after="60" w:before="60"/>
        <w:jc w:val="both"/>
      </w:pPr>
      <w:r>
        <w:rPr>
          <w:rFonts w:ascii="Arial" w:cs="Arial" w:eastAsia="Arial" w:hAnsi="Arial"/>
          <w:color w:val="000000"/>
          <w:sz w:val="22"/>
          <w:szCs w:val="22"/>
        </w:rPr>
        <w:t xml:space="preserve">Il sistema è stato validato in vitro su un fantoccio d’acqua (vasca d’acqua elettricamente isolata). Il segnale dell’elettrodo è stato confrontato con due riferimenti indipendenti:</w:t>
      </w:r>
    </w:p>
    <w:p>
      <w:pPr>
        <w:pStyle w:val="ListParagraph"/>
        <w:numPr>
          <w:ilvl w:val="0"/>
          <w:numId w:val="2"/>
        </w:numPr>
        <w:spacing w:after="40" w:before="40"/>
      </w:pPr>
      <w:r>
        <w:rPr>
          <w:rFonts w:ascii="Arial" w:cs="Arial" w:eastAsia="Arial" w:hAnsi="Arial"/>
          <w:b/>
          <w:bCs/>
          <w:sz w:val="22"/>
          <w:szCs w:val="22"/>
        </w:rPr>
        <w:t xml:space="preserve">SEM (Secondary Emission Monitor): </w:t>
      </w:r>
      <w:r>
        <w:rPr>
          <w:rFonts w:ascii="Arial" w:cs="Arial" w:eastAsia="Arial" w:hAnsi="Arial"/>
          <w:sz w:val="22"/>
          <w:szCs w:val="22"/>
        </w:rPr>
        <w:t xml:space="preserve">un rivelatore sottile di tantalio in trasmissione che misura la corrente del fascio tramite emissione di elettroni secondari.</w:t>
      </w:r>
    </w:p>
    <w:p>
      <w:pPr>
        <w:pStyle w:val="ListParagraph"/>
        <w:numPr>
          <w:ilvl w:val="0"/>
          <w:numId w:val="2"/>
        </w:numPr>
        <w:spacing w:after="40" w:before="40"/>
      </w:pPr>
      <w:r>
        <w:rPr>
          <w:rFonts w:ascii="Arial" w:cs="Arial" w:eastAsia="Arial" w:hAnsi="Arial"/>
          <w:b/>
          <w:bCs/>
          <w:sz w:val="22"/>
          <w:szCs w:val="22"/>
        </w:rPr>
        <w:t xml:space="preserve">Camera di ionizzazione Advanced Markus: </w:t>
      </w:r>
      <w:r>
        <w:rPr>
          <w:rFonts w:ascii="Arial" w:cs="Arial" w:eastAsia="Arial" w:hAnsi="Arial"/>
          <w:sz w:val="22"/>
          <w:szCs w:val="22"/>
        </w:rPr>
        <w:t xml:space="preserve">il riferimento dosimetrico assoluto più preciso disponibile per piccoli campi protonici.</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Riproducibilità a breve termine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sz w:val="20"/>
                <w:szCs w:val="20"/>
              </w:rPr>
              <w:t xml:space="preserve">Ottima (variazioni &lt;1% tra misure consecutive)</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Riproducibilità a lungo termine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sz w:val="20"/>
                <w:szCs w:val="20"/>
              </w:rPr>
              <w:t xml:space="preserve">Stabile su periodi di giorni e settimane</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Dipendenza dal dose rate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sz w:val="20"/>
                <w:szCs w:val="20"/>
              </w:rPr>
              <w:t xml:space="preserve">Trascurabile</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Dipendenza dalla dimensione del campo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sz w:val="20"/>
                <w:szCs w:val="20"/>
              </w:rPr>
              <w:t xml:space="preserve">Rilevata e caratterizzata; correggibile</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Linearità con la dose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sz w:val="20"/>
                <w:szCs w:val="20"/>
              </w:rPr>
              <w:t xml:space="preserve">Dimostrata</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Test in vivo preliminari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sz w:val="20"/>
                <w:szCs w:val="20"/>
              </w:rPr>
              <w:t xml:space="preserve">Eseguiti con risultati promettenti</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Stato brevettuale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sz w:val="20"/>
                <w:szCs w:val="20"/>
              </w:rPr>
              <w:t xml:space="preserve">Brevetto italiano N. 102017000087851 e internazionale N. WO 2019/025933</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
              <w:left w:val="single" w:color="1B4F72" w:sz="1"/>
              <w:bottom w:val="single" w:color="1B4F72" w:sz="1"/>
              <w:right w:val="single" w:color="1B4F72" w:sz="1"/>
            </w:tcBorders>
            <w:shd w:fill="FEF9E7" w:val="clear"/>
            <w:tcMar>
              <w:top w:type="dxa" w:w="140"/>
              <w:left w:type="dxa" w:w="240"/>
              <w:bottom w:type="dxa" w:w="140"/>
              <w:right w:type="dxa" w:w="240"/>
            </w:tcMar>
          </w:tcPr>
          <w:p>
            <w:pPr>
              <w:spacing w:after="60" w:before="60"/>
            </w:pPr>
            <w:r>
              <w:rPr>
                <w:rFonts w:ascii="Arial" w:cs="Arial" w:eastAsia="Arial" w:hAnsi="Arial"/>
                <w:b/>
                <w:bCs/>
                <w:color w:val="7D6608"/>
                <w:sz w:val="22"/>
                <w:szCs w:val="22"/>
              </w:rPr>
              <w:t xml:space="preserve">⚠️  Perché questo risultato è rilevante</w:t>
            </w:r>
          </w:p>
          <w:p>
            <w:pPr>
              <w:spacing w:after="30" w:before="30"/>
              <w:jc w:val="both"/>
            </w:pPr>
            <w:r>
              <w:rPr>
                <w:rFonts w:ascii="Arial" w:cs="Arial" w:eastAsia="Arial" w:hAnsi="Arial"/>
                <w:sz w:val="21"/>
                <w:szCs w:val="21"/>
              </w:rPr>
              <w:t xml:space="preserve">Un sistema di monitoraggio in vivo non invasivo, semplice e a basso costo rappresenta uno strumento potenzialmente trasformativo per centri che non dispongono di sofisticate apparecchiature IVD. Il fatto che il gruppo abbia ottenuto sia il brevetto italiano sia quello internazionale testimonia la concreta prospettiva di industrializzazione e trasferimento tecnologico.</w:t>
            </w:r>
          </w:p>
        </w:tc>
      </w:tr>
    </w:tbl>
    <w:p>
      <w:pPr>
        <w:pBdr>
          <w:bottom w:val="single" w:color="2E74B5" w:sz="4" w:space="1"/>
        </w:pBdr>
        <w:spacing w:after="140" w:before="140"/>
      </w:pPr>
    </w:p>
    <w:p>
      <w:pPr>
        <w:pStyle w:val="Heading2"/>
        <w:spacing w:after="120" w:before="280"/>
      </w:pPr>
      <w:r>
        <w:rPr>
          <w:rFonts w:ascii="Arial" w:cs="Arial" w:eastAsia="Arial" w:hAnsi="Arial"/>
          <w:b/>
          <w:bCs/>
          <w:color w:val="2E74B5"/>
          <w:sz w:val="26"/>
          <w:szCs w:val="26"/>
        </w:rPr>
        <w:t xml:space="preserve">4.3  Rivelatore SiC p-n per Raggi X a 320 kV (Petringa et al., JINST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
              <w:left w:val="single" w:color="1B4F72" w:sz="1"/>
              <w:bottom w:val="single" w:color="1B4F72" w:sz="1"/>
              <w:right w:val="single" w:color="1B4F72" w:sz="1"/>
            </w:tcBorders>
            <w:shd w:fill="E8F8F5" w:val="clear"/>
            <w:tcMar>
              <w:top w:type="dxa" w:w="140"/>
              <w:left w:type="dxa" w:w="240"/>
              <w:bottom w:type="dxa" w:w="140"/>
              <w:right w:type="dxa" w:w="240"/>
            </w:tcMar>
          </w:tcPr>
          <w:p>
            <w:pPr>
              <w:spacing w:after="60" w:before="60"/>
            </w:pPr>
            <w:r>
              <w:rPr>
                <w:rFonts w:ascii="Arial" w:cs="Arial" w:eastAsia="Arial" w:hAnsi="Arial"/>
                <w:b/>
                <w:bCs/>
                <w:color w:val="1A5276"/>
                <w:sz w:val="22"/>
                <w:szCs w:val="22"/>
              </w:rPr>
              <w:t xml:space="preserve">Di cosa si occupa questo lavoro, in breve</w:t>
            </w:r>
          </w:p>
          <w:p>
            <w:pPr>
              <w:spacing w:after="30" w:before="30"/>
              <w:jc w:val="both"/>
            </w:pPr>
            <w:r>
              <w:rPr>
                <w:rFonts w:ascii="Arial" w:cs="Arial" w:eastAsia="Arial" w:hAnsi="Arial"/>
                <w:sz w:val="21"/>
                <w:szCs w:val="21"/>
              </w:rPr>
              <w:t xml:space="preserve">Questo articolo presenta la prima caratterizzazione dosimetrica sistematica di un rivelatore a giunzione p-n di carburo di silicio esposto a raggi X a 320 kV — un’energia tipicamente usata per applicazioni precliniche, ovvero esperimenti su animali o cellule in laboratorio prima di passare alla clinica umana.</w:t>
            </w:r>
          </w:p>
          <w:p>
            <w:pPr>
              <w:spacing w:after="30" w:before="30"/>
              <w:jc w:val="both"/>
            </w:pPr>
            <w:r>
              <w:rPr>
                <w:rFonts w:ascii="Arial" w:cs="Arial" w:eastAsia="Arial" w:hAnsi="Arial"/>
                <w:sz w:val="21"/>
                <w:szCs w:val="21"/>
              </w:rPr>
              <w:t xml:space="preserve">L’obiettivo è stabilire se il SiC possa sostituire o integrare i sistemi dosimetrici convenzionali in questo tipo di irraggiamenti.</w:t>
            </w:r>
          </w:p>
        </w:tc>
      </w:tr>
    </w:tbl>
    <w:p>
      <w:pPr>
        <w:spacing w:after="60" w:before="60"/>
      </w:pPr>
    </w:p>
    <w:p>
      <w:pPr>
        <w:spacing w:after="80" w:before="200"/>
      </w:pPr>
      <w:r>
        <w:rPr>
          <w:rFonts w:ascii="Arial" w:cs="Arial" w:eastAsia="Arial" w:hAnsi="Arial"/>
          <w:b/>
          <w:bCs/>
          <w:color w:val="1F3864"/>
          <w:sz w:val="22"/>
          <w:szCs w:val="22"/>
        </w:rPr>
        <w:t xml:space="preserve">Struttura del rivelatore</w:t>
      </w:r>
    </w:p>
    <w:p>
      <w:pPr>
        <w:spacing w:after="60" w:before="60"/>
        <w:jc w:val="both"/>
      </w:pPr>
      <w:r>
        <w:rPr>
          <w:rFonts w:ascii="Arial" w:cs="Arial" w:eastAsia="Arial" w:hAnsi="Arial"/>
          <w:color w:val="000000"/>
          <w:sz w:val="22"/>
          <w:szCs w:val="22"/>
        </w:rPr>
        <w:t xml:space="preserve">Il rivelatore è basato su un substrato di 4H-SiC (una specifica forma cristallina del carburo di silicio) con uno strato epitassiale — ovvero un film cristallino cresciuto con estrema purezza e controllo — di sole 10 μm di spessore. Su questo strato viene realizzata una giunzione p-n: uno strato drogato con atomi accettori (tipo p) a contatto con lo strato drogato con atomi donatori (tipo n). Questa giunzione crea una regione di svuotamento in cui il campo elettrico è intenso e raccoglie efficientemente le cariche liberate dalla radiazione.</w:t>
      </w:r>
    </w:p>
    <w:p>
      <w:pPr>
        <w:spacing w:after="60" w:before="60"/>
      </w:pPr>
    </w:p>
    <w:p>
      <w:pPr>
        <w:spacing w:after="80" w:before="200"/>
      </w:pPr>
      <w:r>
        <w:rPr>
          <w:rFonts w:ascii="Arial" w:cs="Arial" w:eastAsia="Arial" w:hAnsi="Arial"/>
          <w:b/>
          <w:bCs/>
          <w:color w:val="1F3864"/>
          <w:sz w:val="22"/>
          <w:szCs w:val="22"/>
        </w:rPr>
        <w:t xml:space="preserve">Parametri dosimetrici misurati</w:t>
      </w:r>
    </w:p>
    <w:p>
      <w:pPr>
        <w:pStyle w:val="ListParagraph"/>
        <w:numPr>
          <w:ilvl w:val="0"/>
          <w:numId w:val="2"/>
        </w:numPr>
        <w:spacing w:after="40" w:before="40"/>
      </w:pPr>
      <w:r>
        <w:rPr>
          <w:rFonts w:ascii="Arial" w:cs="Arial" w:eastAsia="Arial" w:hAnsi="Arial"/>
          <w:b/>
          <w:bCs/>
          <w:sz w:val="22"/>
          <w:szCs w:val="22"/>
        </w:rPr>
        <w:t xml:space="preserve">Linearità con la dose assorbita: </w:t>
      </w:r>
      <w:r>
        <w:rPr>
          <w:rFonts w:ascii="Arial" w:cs="Arial" w:eastAsia="Arial" w:hAnsi="Arial"/>
          <w:sz w:val="22"/>
          <w:szCs w:val="22"/>
        </w:rPr>
        <w:t xml:space="preserve">la risposta del detector cresce proporzionalmente alla dose? Fondamentale per la calibrazione.</w:t>
      </w:r>
    </w:p>
    <w:p>
      <w:pPr>
        <w:pStyle w:val="ListParagraph"/>
        <w:numPr>
          <w:ilvl w:val="0"/>
          <w:numId w:val="2"/>
        </w:numPr>
        <w:spacing w:after="40" w:before="40"/>
      </w:pPr>
      <w:r>
        <w:rPr>
          <w:rFonts w:ascii="Arial" w:cs="Arial" w:eastAsia="Arial" w:hAnsi="Arial"/>
          <w:b/>
          <w:bCs/>
          <w:sz w:val="22"/>
          <w:szCs w:val="22"/>
        </w:rPr>
        <w:t xml:space="preserve">Dipendenza dal dose rate: </w:t>
      </w:r>
      <w:r>
        <w:rPr>
          <w:rFonts w:ascii="Arial" w:cs="Arial" w:eastAsia="Arial" w:hAnsi="Arial"/>
          <w:sz w:val="22"/>
          <w:szCs w:val="22"/>
        </w:rPr>
        <w:t xml:space="preserve">la risposta cambia se la stessa dose viene erogata più in fretta o più lentamente? Idealmente no.</w:t>
      </w:r>
    </w:p>
    <w:p>
      <w:pPr>
        <w:pStyle w:val="ListParagraph"/>
        <w:numPr>
          <w:ilvl w:val="0"/>
          <w:numId w:val="2"/>
        </w:numPr>
        <w:spacing w:after="40" w:before="40"/>
      </w:pPr>
      <w:r>
        <w:rPr>
          <w:rFonts w:ascii="Arial" w:cs="Arial" w:eastAsia="Arial" w:hAnsi="Arial"/>
          <w:b/>
          <w:bCs/>
          <w:sz w:val="22"/>
          <w:szCs w:val="22"/>
        </w:rPr>
        <w:t xml:space="preserve">Distribuzione PDD (Percentage Depth Dose): </w:t>
      </w:r>
      <w:r>
        <w:rPr>
          <w:rFonts w:ascii="Arial" w:cs="Arial" w:eastAsia="Arial" w:hAnsi="Arial"/>
          <w:sz w:val="22"/>
          <w:szCs w:val="22"/>
        </w:rPr>
        <w:t xml:space="preserve">come varia la risposta al variare della profondità di penetrazione nel mezzo irradiato?</w:t>
      </w:r>
    </w:p>
    <w:p>
      <w:pPr>
        <w:pStyle w:val="ListParagraph"/>
        <w:numPr>
          <w:ilvl w:val="0"/>
          <w:numId w:val="2"/>
        </w:numPr>
        <w:spacing w:after="40" w:before="40"/>
      </w:pPr>
      <w:r>
        <w:rPr>
          <w:rFonts w:ascii="Arial" w:cs="Arial" w:eastAsia="Arial" w:hAnsi="Arial"/>
          <w:b/>
          <w:bCs/>
          <w:sz w:val="22"/>
          <w:szCs w:val="22"/>
        </w:rPr>
        <w:t xml:space="preserve">Dipendenza dal campo: </w:t>
      </w:r>
      <w:r>
        <w:rPr>
          <w:rFonts w:ascii="Arial" w:cs="Arial" w:eastAsia="Arial" w:hAnsi="Arial"/>
          <w:sz w:val="22"/>
          <w:szCs w:val="22"/>
        </w:rPr>
        <w:t xml:space="preserve">la risposta cambia con le dimensioni del campo di irraggiamento?</w:t>
      </w:r>
    </w:p>
    <w:p>
      <w:pPr>
        <w:pStyle w:val="ListParagraph"/>
        <w:numPr>
          <w:ilvl w:val="0"/>
          <w:numId w:val="2"/>
        </w:numPr>
        <w:spacing w:after="40" w:before="40"/>
      </w:pPr>
      <w:r>
        <w:rPr>
          <w:rFonts w:ascii="Arial" w:cs="Arial" w:eastAsia="Arial" w:hAnsi="Arial"/>
          <w:b/>
          <w:bCs/>
          <w:sz w:val="22"/>
          <w:szCs w:val="22"/>
        </w:rPr>
        <w:t xml:space="preserve">Riproducibilità: </w:t>
      </w:r>
      <w:r>
        <w:rPr>
          <w:rFonts w:ascii="Arial" w:cs="Arial" w:eastAsia="Arial" w:hAnsi="Arial"/>
          <w:sz w:val="22"/>
          <w:szCs w:val="22"/>
        </w:rPr>
        <w:t xml:space="preserve">se si ripete la stessa misura più volte (anche a giorni di distanza), si ottiene lo stesso risultato?</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Linearità dose-risposta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sz w:val="20"/>
                <w:szCs w:val="20"/>
              </w:rPr>
              <w:t xml:space="preserve">Altamente lineare in tutto il range investigato</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Dipendenza dal dose rate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sz w:val="20"/>
                <w:szCs w:val="20"/>
              </w:rPr>
              <w:t xml:space="preserve">Trascurabile: il detector risponde allo stesso modo indipendentemente dalla velocità di erogazione</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Risposta vs campo e profondità</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sz w:val="20"/>
                <w:szCs w:val="20"/>
              </w:rPr>
              <w:t xml:space="preserve">Consistente: non sono state osservate variazioni significative</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Riproducibilità</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sz w:val="20"/>
                <w:szCs w:val="20"/>
              </w:rPr>
              <w:t xml:space="preserve">Elevata, sia a breve che a lungo termine</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Contesto applicativo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sz w:val="20"/>
                <w:szCs w:val="20"/>
              </w:rPr>
              <w:t xml:space="preserve">Dosimetria preclinica e translazionale con fotoni a energia media</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
              <w:left w:val="single" w:color="1B4F72" w:sz="1"/>
              <w:bottom w:val="single" w:color="1B4F72" w:sz="1"/>
              <w:right w:val="single" w:color="1B4F72" w:sz="1"/>
            </w:tcBorders>
            <w:shd w:fill="EAFAF1" w:val="clear"/>
            <w:tcMar>
              <w:top w:type="dxa" w:w="140"/>
              <w:left w:type="dxa" w:w="240"/>
              <w:bottom w:type="dxa" w:w="140"/>
              <w:right w:type="dxa" w:w="240"/>
            </w:tcMar>
          </w:tcPr>
          <w:p>
            <w:pPr>
              <w:spacing w:after="60" w:before="60"/>
            </w:pPr>
            <w:r>
              <w:rPr>
                <w:rFonts w:ascii="Arial" w:cs="Arial" w:eastAsia="Arial" w:hAnsi="Arial"/>
                <w:b/>
                <w:bCs/>
                <w:color w:val="1E8449"/>
                <w:sz w:val="22"/>
                <w:szCs w:val="22"/>
              </w:rPr>
              <w:t xml:space="preserve">🔬 Cos’è l’irraggiamento a 320 kV?</w:t>
            </w:r>
          </w:p>
          <w:p>
            <w:pPr>
              <w:spacing w:after="30" w:before="30"/>
              <w:jc w:val="both"/>
            </w:pPr>
            <w:r>
              <w:rPr>
                <w:rFonts w:ascii="Arial" w:cs="Arial" w:eastAsia="Arial" w:hAnsi="Arial"/>
                <w:sz w:val="21"/>
                <w:szCs w:val="21"/>
              </w:rPr>
              <w:t xml:space="preserve">I raggi X a 320 kV (kilovolt) è un’energia intermedia: più alta dei raggi X diagnostici (~80–120 kV) ma molto più bassa dei fasci terapeutici clinici (~6–15 MV, megavolt). Viene usata principalmente nella ricerca preclinica — irraggiare cellule in coltura o piccoli animali in laboratorio — e nella radioterapia intraoperatoria (IORT) a basse energie. La caratterizzazione del SiC a questa energia è il primo passo verso un uso traslazionale del rivelatore.</w:t>
            </w:r>
          </w:p>
        </w:tc>
      </w:tr>
    </w:tbl>
    <w:p>
      <w:pPr>
        <w:pBdr>
          <w:bottom w:val="single" w:color="2E74B5" w:sz="4" w:space="1"/>
        </w:pBdr>
        <w:spacing w:after="140" w:before="140"/>
      </w:pPr>
    </w:p>
    <w:p>
      <w:pPr>
        <w:pStyle w:val="Heading2"/>
        <w:spacing w:after="120" w:before="280"/>
      </w:pPr>
      <w:r>
        <w:rPr>
          <w:rFonts w:ascii="Arial" w:cs="Arial" w:eastAsia="Arial" w:hAnsi="Arial"/>
          <w:b/>
          <w:bCs/>
          <w:color w:val="2E74B5"/>
          <w:sz w:val="26"/>
          <w:szCs w:val="26"/>
        </w:rPr>
        <w:t xml:space="preserve">4.4  Sistema Dosimetrico per FLASH Proton Therapy (Petringa et al., Physica Medica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
              <w:left w:val="single" w:color="1B4F72" w:sz="1"/>
              <w:bottom w:val="single" w:color="1B4F72" w:sz="1"/>
              <w:right w:val="single" w:color="1B4F72" w:sz="1"/>
            </w:tcBorders>
            <w:shd w:fill="E8F8F5" w:val="clear"/>
            <w:tcMar>
              <w:top w:type="dxa" w:w="140"/>
              <w:left w:type="dxa" w:w="240"/>
              <w:bottom w:type="dxa" w:w="140"/>
              <w:right w:type="dxa" w:w="240"/>
            </w:tcMar>
          </w:tcPr>
          <w:p>
            <w:pPr>
              <w:spacing w:after="60" w:before="60"/>
            </w:pPr>
            <w:r>
              <w:rPr>
                <w:rFonts w:ascii="Arial" w:cs="Arial" w:eastAsia="Arial" w:hAnsi="Arial"/>
                <w:b/>
                <w:bCs/>
                <w:color w:val="1A5276"/>
                <w:sz w:val="22"/>
                <w:szCs w:val="22"/>
              </w:rPr>
              <w:t xml:space="preserve">Di cosa si occupa questo lavoro, in breve</w:t>
            </w:r>
          </w:p>
          <w:p>
            <w:pPr>
              <w:spacing w:after="30" w:before="30"/>
              <w:jc w:val="both"/>
            </w:pPr>
            <w:r>
              <w:rPr>
                <w:rFonts w:ascii="Arial" w:cs="Arial" w:eastAsia="Arial" w:hAnsi="Arial"/>
                <w:sz w:val="21"/>
                <w:szCs w:val="21"/>
              </w:rPr>
              <w:t xml:space="preserve">Questo è probabilmente il contributo più innovativo del gruppo in termini di impatto clinico futuro. Il lavoro progetta, costruisce e valida sperimentalmente un sistema completo di dosimetria per fasci protonici a ultra-high dose rate — il regime di FLASH radiotherapy.</w:t>
            </w:r>
          </w:p>
          <w:p>
            <w:pPr>
              <w:spacing w:after="30" w:before="30"/>
              <w:jc w:val="both"/>
            </w:pPr>
            <w:r>
              <w:rPr>
                <w:rFonts w:ascii="Arial" w:cs="Arial" w:eastAsia="Arial" w:hAnsi="Arial"/>
                <w:sz w:val="21"/>
                <w:szCs w:val="21"/>
              </w:rPr>
              <w:t xml:space="preserve">Il problema tecnico è che i sistemi dosimetrici tradizionali non funzionano bene a 230 Gy/s: le camere di ionizzazione saturano per via della ricombinazione ionica, i film non danno informazione in tempo reale, e i monitor standard non sono progettati per impulsi così intensi.</w:t>
            </w:r>
          </w:p>
        </w:tc>
      </w:tr>
    </w:tbl>
    <w:p>
      <w:pPr>
        <w:spacing w:after="60" w:before="60"/>
      </w:pPr>
    </w:p>
    <w:p>
      <w:pPr>
        <w:spacing w:after="80" w:before="200"/>
      </w:pPr>
      <w:r>
        <w:rPr>
          <w:rFonts w:ascii="Arial" w:cs="Arial" w:eastAsia="Arial" w:hAnsi="Arial"/>
          <w:b/>
          <w:bCs/>
          <w:color w:val="1F3864"/>
          <w:sz w:val="22"/>
          <w:szCs w:val="22"/>
        </w:rPr>
        <w:t xml:space="preserve">L’architettura del sistema: tre rivelatori in cascata</w:t>
      </w:r>
    </w:p>
    <w:p>
      <w:pPr>
        <w:spacing w:after="60" w:before="60"/>
        <w:jc w:val="both"/>
      </w:pPr>
      <w:r>
        <w:rPr>
          <w:rFonts w:ascii="Arial" w:cs="Arial" w:eastAsia="Arial" w:hAnsi="Arial"/>
          <w:color w:val="000000"/>
          <w:sz w:val="22"/>
          <w:szCs w:val="22"/>
        </w:rPr>
        <w:t xml:space="preserve">Il sistema proposto integra tre rivelatori fisicamente distinti, ciascuno con una funzione specifica:</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1B4F72" w:sz="1"/>
              <w:left w:val="single" w:color="1B4F72" w:sz="1"/>
              <w:bottom w:val="single" w:color="1B4F72" w:sz="1"/>
              <w:right w:val="single" w:color="1B4F72" w:sz="1"/>
            </w:tcBorders>
            <w:shd w:fill="1B4F72"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Rivelatore</w:t>
            </w:r>
          </w:p>
        </w:tc>
        <w:tc>
          <w:tcPr>
            <w:tcW w:type="dxa" w:w="3680"/>
            <w:tcBorders>
              <w:top w:val="single" w:color="1B4F72" w:sz="1"/>
              <w:left w:val="single" w:color="1B4F72" w:sz="1"/>
              <w:bottom w:val="single" w:color="1B4F72" w:sz="1"/>
              <w:right w:val="single" w:color="1B4F72" w:sz="1"/>
            </w:tcBorders>
            <w:shd w:fill="1B4F72"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Principio fisico</w:t>
            </w:r>
          </w:p>
        </w:tc>
        <w:tc>
          <w:tcPr>
            <w:tcW w:type="dxa" w:w="3680"/>
            <w:tcBorders>
              <w:top w:val="single" w:color="1B4F72" w:sz="1"/>
              <w:left w:val="single" w:color="1B4F72" w:sz="1"/>
              <w:bottom w:val="single" w:color="1B4F72" w:sz="1"/>
              <w:right w:val="single" w:color="1B4F72" w:sz="1"/>
            </w:tcBorders>
            <w:shd w:fill="1B4F72"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Funzione</w:t>
            </w:r>
          </w:p>
        </w:tc>
      </w:tr>
      <w:tr>
        <w:tc>
          <w:tcPr>
            <w:tcW w:type="dxa" w:w="2000"/>
            <w:tcBorders>
              <w:top w:val="single" w:color="CCCCCC" w:sz="1"/>
              <w:left w:val="single" w:color="CCCCCC" w:sz="1"/>
              <w:bottom w:val="single" w:color="CCCCCC" w:sz="1"/>
              <w:right w:val="single" w:color="CCCCCC" w:sz="1"/>
            </w:tcBorders>
            <w:shd w:fill="FDFEFE" w:val="clear"/>
            <w:tcMar>
              <w:top w:type="dxa" w:w="80"/>
              <w:left w:type="dxa" w:w="100"/>
              <w:bottom w:type="dxa" w:w="80"/>
              <w:right w:type="dxa" w:w="80"/>
            </w:tcMar>
          </w:tcPr>
          <w:p>
            <w:r>
              <w:rPr>
                <w:rFonts w:ascii="Arial" w:cs="Arial" w:eastAsia="Arial" w:hAnsi="Arial"/>
                <w:b/>
                <w:bCs/>
                <w:sz w:val="19"/>
                <w:szCs w:val="19"/>
              </w:rPr>
              <w:t xml:space="preserve">SEM (Secondary Emission Monitor)</w:t>
            </w:r>
          </w:p>
        </w:tc>
        <w:tc>
          <w:tcPr>
            <w:tcW w:type="dxa" w:w="3680"/>
            <w:tcBorders>
              <w:top w:val="single" w:color="CCCCCC" w:sz="1"/>
              <w:left w:val="single" w:color="CCCCCC" w:sz="1"/>
              <w:bottom w:val="single" w:color="CCCCCC" w:sz="1"/>
              <w:right w:val="single" w:color="CCCCCC" w:sz="1"/>
            </w:tcBorders>
            <w:shd w:fill="FDFEFE" w:val="clear"/>
            <w:tcMar>
              <w:top w:type="dxa" w:w="80"/>
              <w:left w:type="dxa" w:w="100"/>
              <w:bottom w:type="dxa" w:w="80"/>
              <w:right w:type="dxa" w:w="80"/>
            </w:tcMar>
          </w:tcPr>
          <w:p>
            <w:pPr>
              <w:jc w:val="both"/>
            </w:pPr>
            <w:r>
              <w:rPr>
                <w:rFonts w:ascii="Arial" w:cs="Arial" w:eastAsia="Arial" w:hAnsi="Arial"/>
                <w:sz w:val="19"/>
                <w:szCs w:val="19"/>
              </w:rPr>
              <w:t xml:space="preserve">Foglio di tantalio da 15 μm: misura la corrente del fascio tramite emissione di elettroni secondari. Opera in trasmissione, senza fermare il fascio.</w:t>
            </w:r>
          </w:p>
        </w:tc>
        <w:tc>
          <w:tcPr>
            <w:tcW w:type="dxa" w:w="3680"/>
            <w:tcBorders>
              <w:top w:val="single" w:color="CCCCCC" w:sz="1"/>
              <w:left w:val="single" w:color="CCCCCC" w:sz="1"/>
              <w:bottom w:val="single" w:color="CCCCCC" w:sz="1"/>
              <w:right w:val="single" w:color="CCCCCC" w:sz="1"/>
            </w:tcBorders>
            <w:shd w:fill="FDFEFE" w:val="clear"/>
            <w:tcMar>
              <w:top w:type="dxa" w:w="80"/>
              <w:left w:type="dxa" w:w="100"/>
              <w:bottom w:type="dxa" w:w="80"/>
              <w:right w:type="dxa" w:w="80"/>
            </w:tcMar>
          </w:tcPr>
          <w:p>
            <w:pPr>
              <w:jc w:val="both"/>
            </w:pPr>
            <w:r>
              <w:rPr>
                <w:rFonts w:ascii="Arial" w:cs="Arial" w:eastAsia="Arial" w:hAnsi="Arial"/>
                <w:sz w:val="19"/>
                <w:szCs w:val="19"/>
              </w:rPr>
              <w:t xml:space="preserve">Monitor continuo del dose rate; non interferisce con il fascio; calibrato rispetto alla FC.</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80"/>
            </w:tcMar>
          </w:tcPr>
          <w:p>
            <w:r>
              <w:rPr>
                <w:rFonts w:ascii="Arial" w:cs="Arial" w:eastAsia="Arial" w:hAnsi="Arial"/>
                <w:b/>
                <w:bCs/>
                <w:sz w:val="19"/>
                <w:szCs w:val="19"/>
              </w:rPr>
              <w:t xml:space="preserve">DGIC (Dual-Gap Ionization Chamber)</w:t>
            </w:r>
          </w:p>
        </w:tc>
        <w:tc>
          <w:tcPr>
            <w:tcW w:type="dxa" w:w="368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80"/>
            </w:tcMar>
          </w:tcPr>
          <w:p>
            <w:pPr>
              <w:jc w:val="both"/>
            </w:pPr>
            <w:r>
              <w:rPr>
                <w:rFonts w:ascii="Arial" w:cs="Arial" w:eastAsia="Arial" w:hAnsi="Arial"/>
                <w:sz w:val="19"/>
                <w:szCs w:val="19"/>
              </w:rPr>
              <w:t xml:space="preserve">Camera di ionizzazione a doppio gap (5 mm e 10 mm): i due gap diversi permettono di correggere la ricombinazione ionica tramite la teoria di Boag-Wilson, cruciale ad alto dose rate.</w:t>
            </w:r>
          </w:p>
        </w:tc>
        <w:tc>
          <w:tcPr>
            <w:tcW w:type="dxa" w:w="368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80"/>
            </w:tcMar>
          </w:tcPr>
          <w:p>
            <w:pPr>
              <w:jc w:val="both"/>
            </w:pPr>
            <w:r>
              <w:rPr>
                <w:rFonts w:ascii="Arial" w:cs="Arial" w:eastAsia="Arial" w:hAnsi="Arial"/>
                <w:sz w:val="19"/>
                <w:szCs w:val="19"/>
              </w:rPr>
              <w:t xml:space="preserve">Misura di dose in tempo reale con correzione della ricombinazione; incertezza &lt;3% dopo correzione.</w:t>
            </w:r>
          </w:p>
        </w:tc>
      </w:tr>
      <w:tr>
        <w:tc>
          <w:tcPr>
            <w:tcW w:type="dxa" w:w="2000"/>
            <w:tcBorders>
              <w:top w:val="single" w:color="CCCCCC" w:sz="1"/>
              <w:left w:val="single" w:color="CCCCCC" w:sz="1"/>
              <w:bottom w:val="single" w:color="CCCCCC" w:sz="1"/>
              <w:right w:val="single" w:color="CCCCCC" w:sz="1"/>
            </w:tcBorders>
            <w:shd w:fill="FDFEFE" w:val="clear"/>
            <w:tcMar>
              <w:top w:type="dxa" w:w="80"/>
              <w:left w:type="dxa" w:w="100"/>
              <w:bottom w:type="dxa" w:w="80"/>
              <w:right w:type="dxa" w:w="80"/>
            </w:tcMar>
          </w:tcPr>
          <w:p>
            <w:r>
              <w:rPr>
                <w:rFonts w:ascii="Arial" w:cs="Arial" w:eastAsia="Arial" w:hAnsi="Arial"/>
                <w:b/>
                <w:bCs/>
                <w:sz w:val="19"/>
                <w:szCs w:val="19"/>
              </w:rPr>
              <w:t xml:space="preserve">FC (Faraday Cup)</w:t>
            </w:r>
          </w:p>
        </w:tc>
        <w:tc>
          <w:tcPr>
            <w:tcW w:type="dxa" w:w="3680"/>
            <w:tcBorders>
              <w:top w:val="single" w:color="CCCCCC" w:sz="1"/>
              <w:left w:val="single" w:color="CCCCCC" w:sz="1"/>
              <w:bottom w:val="single" w:color="CCCCCC" w:sz="1"/>
              <w:right w:val="single" w:color="CCCCCC" w:sz="1"/>
            </w:tcBorders>
            <w:shd w:fill="FDFEFE" w:val="clear"/>
            <w:tcMar>
              <w:top w:type="dxa" w:w="80"/>
              <w:left w:type="dxa" w:w="100"/>
              <w:bottom w:type="dxa" w:w="80"/>
              <w:right w:type="dxa" w:w="80"/>
            </w:tcMar>
          </w:tcPr>
          <w:p>
            <w:pPr>
              <w:jc w:val="both"/>
            </w:pPr>
            <w:r>
              <w:rPr>
                <w:rFonts w:ascii="Arial" w:cs="Arial" w:eastAsia="Arial" w:hAnsi="Arial"/>
                <w:sz w:val="19"/>
                <w:szCs w:val="19"/>
              </w:rPr>
              <w:t xml:space="preserve">Coppa metallica che raccoglie direttamente le cariche dei protoni. Design innovativo con geometria smussata e doppio elettrodo (−800 V e +1500 V) per massimizzare l’efficienza di raccolta.</w:t>
            </w:r>
          </w:p>
        </w:tc>
        <w:tc>
          <w:tcPr>
            <w:tcW w:type="dxa" w:w="3680"/>
            <w:tcBorders>
              <w:top w:val="single" w:color="CCCCCC" w:sz="1"/>
              <w:left w:val="single" w:color="CCCCCC" w:sz="1"/>
              <w:bottom w:val="single" w:color="CCCCCC" w:sz="1"/>
              <w:right w:val="single" w:color="CCCCCC" w:sz="1"/>
            </w:tcBorders>
            <w:shd w:fill="FDFEFE" w:val="clear"/>
            <w:tcMar>
              <w:top w:type="dxa" w:w="80"/>
              <w:left w:type="dxa" w:w="100"/>
              <w:bottom w:type="dxa" w:w="80"/>
              <w:right w:type="dxa" w:w="80"/>
            </w:tcMar>
          </w:tcPr>
          <w:p>
            <w:pPr>
              <w:jc w:val="both"/>
            </w:pPr>
            <w:r>
              <w:rPr>
                <w:rFonts w:ascii="Arial" w:cs="Arial" w:eastAsia="Arial" w:hAnsi="Arial"/>
                <w:sz w:val="19"/>
                <w:szCs w:val="19"/>
              </w:rPr>
              <w:t xml:space="preserve">Riferimento assoluto per la calibrazione della dose; incertezza media &lt;2% su tutto il range di dose rate.</w:t>
            </w:r>
          </w:p>
        </w:tc>
      </w:tr>
    </w:tbl>
    <w:p>
      <w:pPr>
        <w:spacing w:after="60" w:before="60"/>
      </w:pPr>
    </w:p>
    <w:p>
      <w:pPr>
        <w:spacing w:after="80" w:before="200"/>
      </w:pPr>
      <w:r>
        <w:rPr>
          <w:rFonts w:ascii="Arial" w:cs="Arial" w:eastAsia="Arial" w:hAnsi="Arial"/>
          <w:b/>
          <w:bCs/>
          <w:color w:val="1F3864"/>
          <w:sz w:val="22"/>
          <w:szCs w:val="22"/>
        </w:rPr>
        <w:t xml:space="preserve">La teoria di Boag-Wilson: perché serve?</w:t>
      </w:r>
    </w:p>
    <w:p>
      <w:pPr>
        <w:spacing w:after="60" w:before="60"/>
        <w:jc w:val="both"/>
      </w:pPr>
      <w:r>
        <w:rPr>
          <w:rFonts w:ascii="Arial" w:cs="Arial" w:eastAsia="Arial" w:hAnsi="Arial"/>
          <w:color w:val="000000"/>
          <w:sz w:val="22"/>
          <w:szCs w:val="22"/>
        </w:rPr>
        <w:t xml:space="preserve">Nelle camere di ionizzazione, la radiazione ionizza il gas interno creando coppie ione-elettrone. A dose rate molto elevati, la densità di ioni è talmente alta che prima di essere raccolti dagli elettrodi, molti ioni si ricombinano tra loro, perdendo il loro segnale. Questo fenomeno si chiama ricombinazione ionica e porta a una sottostima della dose misurata. La teoria di Boag-Wilson fornisce le equazioni per correggere questo effetto, e la scelta di usare un doppio gap (DGIC-1 da 5 mm e DGIC-2 da 10 mm) permette di applicare questa correzione in modo sperimentale, confrontando i segnali dei due gap.</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Range di dose rate validato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sz w:val="20"/>
                <w:szCs w:val="20"/>
              </w:rPr>
              <w:t xml:space="preserve">20 – 230 Gy/s</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Incertezza FC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sz w:val="20"/>
                <w:szCs w:val="20"/>
              </w:rPr>
              <w:t xml:space="preserve">≤2% su tutto il range, nessuna variazione significativa con il dose rate</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Accordo SEM-FC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sz w:val="20"/>
                <w:szCs w:val="20"/>
              </w:rPr>
              <w:t xml:space="preserve">Entro 1.4% in media</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Incertezza DGIC (dopo correzione)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sz w:val="20"/>
                <w:szCs w:val="20"/>
              </w:rPr>
              <w:t xml:space="preserve">&lt;3%</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Fascio utilizzato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sz w:val="20"/>
                <w:szCs w:val="20"/>
              </w:rPr>
              <w:t xml:space="preserve">Protoni 62 MeV, INFN-LNS Catania</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
              <w:left w:val="single" w:color="1B4F72" w:sz="1"/>
              <w:bottom w:val="single" w:color="1B4F72" w:sz="1"/>
              <w:right w:val="single" w:color="1B4F72" w:sz="1"/>
            </w:tcBorders>
            <w:shd w:fill="FEF9E7" w:val="clear"/>
            <w:tcMar>
              <w:top w:type="dxa" w:w="140"/>
              <w:left w:type="dxa" w:w="240"/>
              <w:bottom w:type="dxa" w:w="140"/>
              <w:right w:type="dxa" w:w="240"/>
            </w:tcMar>
          </w:tcPr>
          <w:p>
            <w:pPr>
              <w:spacing w:after="60" w:before="60"/>
            </w:pPr>
            <w:r>
              <w:rPr>
                <w:rFonts w:ascii="Arial" w:cs="Arial" w:eastAsia="Arial" w:hAnsi="Arial"/>
                <w:b/>
                <w:bCs/>
                <w:color w:val="7D6608"/>
                <w:sz w:val="22"/>
                <w:szCs w:val="22"/>
              </w:rPr>
              <w:t xml:space="preserve">⚠️  Perché questo lavoro è una pietra miliare</w:t>
            </w:r>
          </w:p>
          <w:p>
            <w:pPr>
              <w:spacing w:after="30" w:before="30"/>
              <w:jc w:val="both"/>
            </w:pPr>
            <w:r>
              <w:rPr>
                <w:rFonts w:ascii="Arial" w:cs="Arial" w:eastAsia="Arial" w:hAnsi="Arial"/>
                <w:sz w:val="21"/>
                <w:szCs w:val="21"/>
              </w:rPr>
              <w:t xml:space="preserve">Non esiste ancora un trattamento FLASH approvato clinicamente per i protoni su pazienti umani. Tuttavia, la ricerca preclinica ha dimostrato risultati straordinari. Per arrivare alla clinica, è necessario avere sistemi dosimetrici certificabili che operino in questo regime estremo con incertezze clinicamente accettabili. Questo sistema — con la sua incertezza &lt;2% fino a 230 Gy/s — è uno dei pochi sistemi al mondo a soddisfare questo requisito con un approccio integrato e validato sperimentalmente.</w:t>
            </w:r>
          </w:p>
        </w:tc>
      </w:tr>
    </w:tbl>
    <w:p>
      <w:pPr>
        <w:pBdr>
          <w:bottom w:val="single" w:color="2E74B5" w:sz="4" w:space="1"/>
        </w:pBdr>
        <w:spacing w:after="140" w:before="140"/>
      </w:pPr>
    </w:p>
    <w:p>
      <w:pPr>
        <w:pStyle w:val="Heading2"/>
        <w:spacing w:after="120" w:before="280"/>
      </w:pPr>
      <w:r>
        <w:rPr>
          <w:rFonts w:ascii="Arial" w:cs="Arial" w:eastAsia="Arial" w:hAnsi="Arial"/>
          <w:b/>
          <w:bCs/>
          <w:color w:val="2E74B5"/>
          <w:sz w:val="26"/>
          <w:szCs w:val="26"/>
        </w:rPr>
        <w:t xml:space="preserve">4.5  SiC p-n per Fotoni Clinici a Megavoltaggio (Petringa et al., Medical Physics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
              <w:left w:val="single" w:color="1B4F72" w:sz="1"/>
              <w:bottom w:val="single" w:color="1B4F72" w:sz="1"/>
              <w:right w:val="single" w:color="1B4F72" w:sz="1"/>
            </w:tcBorders>
            <w:shd w:fill="E8F8F5" w:val="clear"/>
            <w:tcMar>
              <w:top w:type="dxa" w:w="140"/>
              <w:left w:type="dxa" w:w="240"/>
              <w:bottom w:type="dxa" w:w="140"/>
              <w:right w:type="dxa" w:w="240"/>
            </w:tcMar>
          </w:tcPr>
          <w:p>
            <w:pPr>
              <w:spacing w:after="60" w:before="60"/>
            </w:pPr>
            <w:r>
              <w:rPr>
                <w:rFonts w:ascii="Arial" w:cs="Arial" w:eastAsia="Arial" w:hAnsi="Arial"/>
                <w:b/>
                <w:bCs/>
                <w:color w:val="1A5276"/>
                <w:sz w:val="22"/>
                <w:szCs w:val="22"/>
              </w:rPr>
              <w:t xml:space="preserve">Di cosa si occupa questo lavoro, in breve</w:t>
            </w:r>
          </w:p>
          <w:p>
            <w:pPr>
              <w:spacing w:after="30" w:before="30"/>
              <w:jc w:val="both"/>
            </w:pPr>
            <w:r>
              <w:rPr>
                <w:rFonts w:ascii="Arial" w:cs="Arial" w:eastAsia="Arial" w:hAnsi="Arial"/>
                <w:sz w:val="21"/>
                <w:szCs w:val="21"/>
              </w:rPr>
              <w:t xml:space="preserve">Questo lavoro — pubblicato come preprint nel marzo 2026 — porta il rivelatore SiC nel contesto della radioterapia con fotoni più diffusa al mondo: quella erogata da acceleratori lineari (linac) clinici con energie di 6, 10 e 15 MV. A differenza del documento 3 (raggi X a 320 kV), qui le energie sono enormemente più alte e le condizioni di irraggiamento sono quelle di un centro di radioterapia convenzionale.</w:t>
            </w:r>
          </w:p>
          <w:p>
            <w:pPr>
              <w:spacing w:after="30" w:before="30"/>
              <w:jc w:val="both"/>
            </w:pPr>
            <w:r>
              <w:rPr>
                <w:rFonts w:ascii="Arial" w:cs="Arial" w:eastAsia="Arial" w:hAnsi="Arial"/>
                <w:sz w:val="21"/>
                <w:szCs w:val="21"/>
              </w:rPr>
              <w:t xml:space="preserve">L’obiettivo è dimostrare che il SiC può essere usato come dosimetro attivo in tempo reale anche per i trattamenti più comuni.</w:t>
            </w:r>
          </w:p>
        </w:tc>
      </w:tr>
    </w:tbl>
    <w:p>
      <w:pPr>
        <w:spacing w:after="60" w:before="60"/>
      </w:pPr>
    </w:p>
    <w:p>
      <w:pPr>
        <w:spacing w:after="80" w:before="200"/>
      </w:pPr>
      <w:r>
        <w:rPr>
          <w:rFonts w:ascii="Arial" w:cs="Arial" w:eastAsia="Arial" w:hAnsi="Arial"/>
          <w:b/>
          <w:bCs/>
          <w:color w:val="1F3864"/>
          <w:sz w:val="22"/>
          <w:szCs w:val="22"/>
        </w:rPr>
        <w:t xml:space="preserve">Setup sperimentale</w:t>
      </w:r>
    </w:p>
    <w:p>
      <w:pPr>
        <w:spacing w:after="60" w:before="60"/>
        <w:jc w:val="both"/>
      </w:pPr>
      <w:r>
        <w:rPr>
          <w:rFonts w:ascii="Arial" w:cs="Arial" w:eastAsia="Arial" w:hAnsi="Arial"/>
          <w:color w:val="000000"/>
          <w:sz w:val="22"/>
          <w:szCs w:val="22"/>
        </w:rPr>
        <w:t xml:space="preserve">Il detector SiC (strato epitassiale 4H-SiC da 10 μm) viene polarizzato a 30 V di tensione inversa e collegato tramite cavo coassiale a basso rumore a un elettrometro Keithley 6517B. Le misure vengono condotte in un fantoccio d’acqua (una vasca d’acqua standardizzata) in geometria di riferimento: SSD (distanza sorgente-superficie) = 100 cm, campo 10×10 cm². Il riferimento dosimetrico assoluto è una camera di ionizzazione tipo Farmer calibrata in termini di dose assorbita all’acqua.</w:t>
      </w:r>
    </w:p>
    <w:p>
      <w:pPr>
        <w:spacing w:after="60" w:before="60"/>
      </w:pPr>
    </w:p>
    <w:p>
      <w:pPr>
        <w:spacing w:after="80" w:before="200"/>
      </w:pPr>
      <w:r>
        <w:rPr>
          <w:rFonts w:ascii="Arial" w:cs="Arial" w:eastAsia="Arial" w:hAnsi="Arial"/>
          <w:b/>
          <w:bCs/>
          <w:color w:val="1F3864"/>
          <w:sz w:val="22"/>
          <w:szCs w:val="22"/>
        </w:rPr>
        <w:t xml:space="preserve">Caratterizzazione elettrica preliminare</w:t>
      </w:r>
    </w:p>
    <w:p>
      <w:pPr>
        <w:spacing w:after="60" w:before="60"/>
        <w:jc w:val="both"/>
      </w:pPr>
      <w:r>
        <w:rPr>
          <w:rFonts w:ascii="Arial" w:cs="Arial" w:eastAsia="Arial" w:hAnsi="Arial"/>
          <w:color w:val="000000"/>
          <w:sz w:val="22"/>
          <w:szCs w:val="22"/>
        </w:rPr>
        <w:t xml:space="preserve">Prima delle misure dosimetriche, il rivelatore viene caratterizzato elettricamente:</w:t>
      </w:r>
    </w:p>
    <w:p>
      <w:pPr>
        <w:pStyle w:val="ListParagraph"/>
        <w:numPr>
          <w:ilvl w:val="0"/>
          <w:numId w:val="2"/>
        </w:numPr>
        <w:spacing w:after="40" w:before="40"/>
      </w:pPr>
      <w:r>
        <w:rPr>
          <w:rFonts w:ascii="Arial" w:cs="Arial" w:eastAsia="Arial" w:hAnsi="Arial"/>
          <w:b/>
          <w:bCs/>
          <w:sz w:val="22"/>
          <w:szCs w:val="22"/>
        </w:rPr>
        <w:t xml:space="preserve">Curva I-V (corrente-tensione): </w:t>
      </w:r>
      <w:r>
        <w:rPr>
          <w:rFonts w:ascii="Arial" w:cs="Arial" w:eastAsia="Arial" w:hAnsi="Arial"/>
          <w:sz w:val="22"/>
          <w:szCs w:val="22"/>
        </w:rPr>
        <w:t xml:space="preserve">mostra il comportamento rettificante tipico di una giunzione p-n. La corrente di perdita (dark current) a 30 V di polarizzazione inversa è dell’ordine dei picoampere — un valore estremamente basso, che garantisce un rapporto segnale-rumore eccellente.</w:t>
      </w:r>
    </w:p>
    <w:p>
      <w:pPr>
        <w:pStyle w:val="ListParagraph"/>
        <w:numPr>
          <w:ilvl w:val="0"/>
          <w:numId w:val="2"/>
        </w:numPr>
        <w:spacing w:after="40" w:before="40"/>
      </w:pPr>
      <w:r>
        <w:rPr>
          <w:rFonts w:ascii="Arial" w:cs="Arial" w:eastAsia="Arial" w:hAnsi="Arial"/>
          <w:b/>
          <w:bCs/>
          <w:sz w:val="22"/>
          <w:szCs w:val="22"/>
        </w:rPr>
        <w:t xml:space="preserve">Curva C-V (capacità-tensione): </w:t>
      </w:r>
      <w:r>
        <w:rPr>
          <w:rFonts w:ascii="Arial" w:cs="Arial" w:eastAsia="Arial" w:hAnsi="Arial"/>
          <w:sz w:val="22"/>
          <w:szCs w:val="22"/>
        </w:rPr>
        <w:t xml:space="preserve">permette di determinare la tensione di svuotamento completo dello strato attivo, trovata attorno a ~10 V, confermando l’efficiente raccolta delle cariche anche a basse polarizzazioni.</w:t>
      </w:r>
    </w:p>
    <w:p>
      <w:pPr>
        <w:spacing w:after="60" w:before="60"/>
      </w:pPr>
    </w:p>
    <w:p>
      <w:pPr>
        <w:spacing w:after="80" w:before="200"/>
      </w:pPr>
      <w:r>
        <w:rPr>
          <w:rFonts w:ascii="Arial" w:cs="Arial" w:eastAsia="Arial" w:hAnsi="Arial"/>
          <w:b/>
          <w:bCs/>
          <w:color w:val="1F3864"/>
          <w:sz w:val="22"/>
          <w:szCs w:val="22"/>
        </w:rPr>
        <w:t xml:space="preserve">Risultati dosimetrici chiave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Sensibilità a 6 MV</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sz w:val="20"/>
                <w:szCs w:val="20"/>
              </w:rPr>
              <w:t xml:space="preserve">92.5 nC/Gy (nanoampere-secondi per Gray — il segnale elettrico per unità di dose)</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Linearità dose-risposta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sz w:val="20"/>
                <w:szCs w:val="20"/>
              </w:rPr>
              <w:t xml:space="preserve">Deviazione massima &lt;1%, R² &gt;0.99 su tutto il range</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Dipendenza dal dose rate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sz w:val="20"/>
                <w:szCs w:val="20"/>
              </w:rPr>
              <w:t xml:space="preserve">Risposta entro ±1% in tutto il range investigato tra 6 e 15 MV</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Variazione con la qualità del fascio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sz w:val="20"/>
                <w:szCs w:val="20"/>
              </w:rPr>
              <w:t xml:space="preserve">&lt;2% tra 6 e 15 MV dopo normalizzazione</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Accordo PDD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sz w:val="20"/>
                <w:szCs w:val="20"/>
              </w:rPr>
              <w:t xml:space="preserve">d_max entro 1 mm rispetto al riferimento; differenze oltre d_max entro 1%</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Risposta angolare polare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sz w:val="20"/>
                <w:szCs w:val="20"/>
              </w:rPr>
              <w:t xml:space="preserve">Entro ~3% (clinicamente accettabile)</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Risposta angolare azimutale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sz w:val="20"/>
                <w:szCs w:val="20"/>
              </w:rPr>
              <w:t xml:space="preserve">Modulazione pronunciata (~10–15%) attribuita all’asimmetria dei contatti elettrici</w:t>
            </w:r>
          </w:p>
        </w:tc>
      </w:tr>
    </w:tbl>
    <w:p>
      <w:pPr>
        <w:spacing w:after="60" w:before="60"/>
      </w:pPr>
    </w:p>
    <w:p>
      <w:pPr>
        <w:spacing w:after="80" w:before="200"/>
      </w:pPr>
      <w:r>
        <w:rPr>
          <w:rFonts w:ascii="Arial" w:cs="Arial" w:eastAsia="Arial" w:hAnsi="Arial"/>
          <w:b/>
          <w:bCs/>
          <w:color w:val="1F3864"/>
          <w:sz w:val="22"/>
          <w:szCs w:val="22"/>
        </w:rPr>
        <w:t xml:space="preserve">L’anomalia azimutale: un’indicazione di design</w:t>
      </w:r>
    </w:p>
    <w:p>
      <w:pPr>
        <w:spacing w:after="60" w:before="60"/>
        <w:jc w:val="both"/>
      </w:pPr>
      <w:r>
        <w:rPr>
          <w:rFonts w:ascii="Arial" w:cs="Arial" w:eastAsia="Arial" w:hAnsi="Arial"/>
          <w:color w:val="000000"/>
          <w:sz w:val="22"/>
          <w:szCs w:val="22"/>
        </w:rPr>
        <w:t xml:space="preserve">La risposta angolare azimutale mostra una modulazione significativa quando il rivelatore viene ruotato intorno al proprio asse di simmetria. Questo comportamento — assente nella risposta polare — è attribuito all’asimmetria dei contatti metallici depositati sulla superficie del rivelatore. Nella direzione azimutale, il fascio “vede” più o meno metallo a seconda dell’angolo di rotazione, alterando la risposta. Questo è un’importante indicazione di design per le versioni future: rendere la geometria dei contatti più simmetrica.</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
              <w:left w:val="single" w:color="1B4F72" w:sz="1"/>
              <w:bottom w:val="single" w:color="1B4F72" w:sz="1"/>
              <w:right w:val="single" w:color="1B4F72" w:sz="1"/>
            </w:tcBorders>
            <w:shd w:fill="EAFAF1" w:val="clear"/>
            <w:tcMar>
              <w:top w:type="dxa" w:w="140"/>
              <w:left w:type="dxa" w:w="240"/>
              <w:bottom w:type="dxa" w:w="140"/>
              <w:right w:type="dxa" w:w="240"/>
            </w:tcMar>
          </w:tcPr>
          <w:p>
            <w:pPr>
              <w:spacing w:after="60" w:before="60"/>
            </w:pPr>
            <w:r>
              <w:rPr>
                <w:rFonts w:ascii="Arial" w:cs="Arial" w:eastAsia="Arial" w:hAnsi="Arial"/>
                <w:b/>
                <w:bCs/>
                <w:color w:val="1E8449"/>
                <w:sz w:val="22"/>
                <w:szCs w:val="22"/>
              </w:rPr>
              <w:t xml:space="preserve">🔬 Il contesto di questo risultato nel panorama internazionale</w:t>
            </w:r>
          </w:p>
          <w:p>
            <w:pPr>
              <w:spacing w:after="30" w:before="30"/>
              <w:jc w:val="both"/>
            </w:pPr>
            <w:r>
              <w:rPr>
                <w:rFonts w:ascii="Arial" w:cs="Arial" w:eastAsia="Arial" w:hAnsi="Arial"/>
                <w:sz w:val="21"/>
                <w:szCs w:val="21"/>
              </w:rPr>
              <w:t xml:space="preserve">I dosimetri a stato solido per fasci clinici di fotoni sono un campo in rapida evoluzione. Il silicio puro (Si) è il materiale più usato, ma soffre di degradazione da radiazione significativa nel tempo. Il diamante sintetico è eccellente ma costoso e difficile da fabbricare. Il SiC emerge come alternativa con proprietà intermedie eccellenti, e questo lavoro fornisce la prima caratterizzazione completa sotto fasci clinici MV — un risultato che posiziona il gruppo di Catania come pioniere in questo spazio di ricerca.</w:t>
            </w:r>
          </w:p>
        </w:tc>
      </w:tr>
    </w:tbl>
    <w:p>
      <w:pPr>
        <w:pBdr>
          <w:bottom w:val="single" w:color="2E74B5" w:sz="4" w:space="1"/>
        </w:pBdr>
        <w:spacing w:after="140" w:before="140"/>
      </w:pPr>
    </w:p>
    <w:p>
      <w:pPr>
        <w:pStyle w:val="Heading2"/>
        <w:spacing w:after="120" w:before="280"/>
      </w:pPr>
      <w:r>
        <w:rPr>
          <w:rFonts w:ascii="Arial" w:cs="Arial" w:eastAsia="Arial" w:hAnsi="Arial"/>
          <w:b/>
          <w:bCs/>
          <w:color w:val="2E74B5"/>
          <w:sz w:val="26"/>
          <w:szCs w:val="26"/>
        </w:rPr>
        <w:t xml:space="preserve">4.6  SiC per Microdosimetria in Prototerapia (Petringa et al., Physica Medica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
              <w:left w:val="single" w:color="1B4F72" w:sz="1"/>
              <w:bottom w:val="single" w:color="1B4F72" w:sz="1"/>
              <w:right w:val="single" w:color="1B4F72" w:sz="1"/>
            </w:tcBorders>
            <w:shd w:fill="E8F8F5" w:val="clear"/>
            <w:tcMar>
              <w:top w:type="dxa" w:w="140"/>
              <w:left w:type="dxa" w:w="240"/>
              <w:bottom w:type="dxa" w:w="140"/>
              <w:right w:type="dxa" w:w="240"/>
            </w:tcMar>
          </w:tcPr>
          <w:p>
            <w:pPr>
              <w:spacing w:after="60" w:before="60"/>
            </w:pPr>
            <w:r>
              <w:rPr>
                <w:rFonts w:ascii="Arial" w:cs="Arial" w:eastAsia="Arial" w:hAnsi="Arial"/>
                <w:b/>
                <w:bCs/>
                <w:color w:val="1A5276"/>
                <w:sz w:val="22"/>
                <w:szCs w:val="22"/>
              </w:rPr>
              <w:t xml:space="preserve">Di cosa si occupa questo lavoro, in breve</w:t>
            </w:r>
          </w:p>
          <w:p>
            <w:pPr>
              <w:spacing w:after="30" w:before="30"/>
              <w:jc w:val="both"/>
            </w:pPr>
            <w:r>
              <w:rPr>
                <w:rFonts w:ascii="Arial" w:cs="Arial" w:eastAsia="Arial" w:hAnsi="Arial"/>
                <w:sz w:val="21"/>
                <w:szCs w:val="21"/>
              </w:rPr>
              <w:t xml:space="preserve">Questo lavoro rappresenta il contributo più avanzato dal punto di vista radiobiologico. Il SiC viene usato non come semplice dosimetro di dose media, ma come microdosimetro: uno strumento che misura la distribuzione statistica dell’energia depositata in piccoli volumi di dimensioni cellulari.</w:t>
            </w:r>
          </w:p>
          <w:p>
            <w:pPr>
              <w:spacing w:after="30" w:before="30"/>
              <w:jc w:val="both"/>
            </w:pPr>
            <w:r>
              <w:rPr>
                <w:rFonts w:ascii="Arial" w:cs="Arial" w:eastAsia="Arial" w:hAnsi="Arial"/>
                <w:sz w:val="21"/>
                <w:szCs w:val="21"/>
              </w:rPr>
              <w:t xml:space="preserve">Da queste misure si estraggono quantità fisiche fondamentali per stimare l’efficacia biologica del fascio (RBE), con importanti ricadute sulla pianificazione del trattamento in prototerapia.</w:t>
            </w:r>
          </w:p>
        </w:tc>
      </w:tr>
    </w:tbl>
    <w:p>
      <w:pPr>
        <w:spacing w:after="60" w:before="60"/>
      </w:pPr>
    </w:p>
    <w:p>
      <w:pPr>
        <w:spacing w:after="80" w:before="200"/>
      </w:pPr>
      <w:r>
        <w:rPr>
          <w:rFonts w:ascii="Arial" w:cs="Arial" w:eastAsia="Arial" w:hAnsi="Arial"/>
          <w:b/>
          <w:bCs/>
          <w:color w:val="1F3864"/>
          <w:sz w:val="22"/>
          <w:szCs w:val="22"/>
        </w:rPr>
        <w:t xml:space="preserve">Il concetto di lineal energy (energia lineare specifica)</w:t>
      </w:r>
    </w:p>
    <w:p>
      <w:pPr>
        <w:spacing w:after="60" w:before="60"/>
        <w:jc w:val="both"/>
      </w:pPr>
      <w:r>
        <w:rPr>
          <w:rFonts w:ascii="Arial" w:cs="Arial" w:eastAsia="Arial" w:hAnsi="Arial"/>
          <w:color w:val="000000"/>
          <w:sz w:val="22"/>
          <w:szCs w:val="22"/>
        </w:rPr>
        <w:t xml:space="preserve">La grandezza fondamentale della microdosimetria è la lineal energy y, definita come il rapporto tra l’energia ceduta da un singolo evento di ionizzazione in un volume microdosimetrico e la lunghezza media della corda di quel volume. Si misura in keV/μm. Un valor alto di y significa che la radiazione deposita energia in modo molto concentrato — danneggiando più effficacemente il DNA in un’area ristretta — mentre un valore basso corrisponde a una ionizzazione più diffusa.</w:t>
      </w:r>
    </w:p>
    <w:p>
      <w:pPr>
        <w:spacing w:after="40" w:before="40"/>
      </w:pPr>
    </w:p>
    <w:p>
      <w:pPr>
        <w:spacing w:after="60" w:before="60"/>
        <w:jc w:val="both"/>
      </w:pPr>
      <w:r>
        <w:rPr>
          <w:rFonts w:ascii="Arial" w:cs="Arial" w:eastAsia="Arial" w:hAnsi="Arial"/>
          <w:color w:val="000000"/>
          <w:sz w:val="22"/>
          <w:szCs w:val="22"/>
        </w:rPr>
        <w:t xml:space="preserve">Dal microdosimetro si estraggono due grandezze medie:</w:t>
      </w:r>
    </w:p>
    <w:p>
      <w:pPr>
        <w:pStyle w:val="ListParagraph"/>
        <w:numPr>
          <w:ilvl w:val="0"/>
          <w:numId w:val="2"/>
        </w:numPr>
        <w:spacing w:after="40" w:before="40"/>
      </w:pPr>
      <w:r>
        <w:rPr>
          <w:rFonts w:ascii="Arial" w:cs="Arial" w:eastAsia="Arial" w:hAnsi="Arial"/>
          <w:b/>
          <w:bCs/>
          <w:sz w:val="22"/>
          <w:szCs w:val="22"/>
        </w:rPr>
        <w:t xml:space="preserve">Frequenza-media della lineal energy (y_F): </w:t>
      </w:r>
      <w:r>
        <w:rPr>
          <w:rFonts w:ascii="Arial" w:cs="Arial" w:eastAsia="Arial" w:hAnsi="Arial"/>
          <w:sz w:val="22"/>
          <w:szCs w:val="22"/>
        </w:rPr>
        <w:t xml:space="preserve">la media ponderata per numero di eventi. È sensibile agli eventi più frequenti (bassa energia per evento).</w:t>
      </w:r>
    </w:p>
    <w:p>
      <w:pPr>
        <w:pStyle w:val="ListParagraph"/>
        <w:numPr>
          <w:ilvl w:val="0"/>
          <w:numId w:val="2"/>
        </w:numPr>
        <w:spacing w:after="40" w:before="40"/>
      </w:pPr>
      <w:r>
        <w:rPr>
          <w:rFonts w:ascii="Arial" w:cs="Arial" w:eastAsia="Arial" w:hAnsi="Arial"/>
          <w:b/>
          <w:bCs/>
          <w:sz w:val="22"/>
          <w:szCs w:val="22"/>
        </w:rPr>
        <w:t xml:space="preserve">Dose-media della lineal energy (y_D): </w:t>
      </w:r>
      <w:r>
        <w:rPr>
          <w:rFonts w:ascii="Arial" w:cs="Arial" w:eastAsia="Arial" w:hAnsi="Arial"/>
          <w:sz w:val="22"/>
          <w:szCs w:val="22"/>
        </w:rPr>
        <w:t xml:space="preserve">la media ponderata per dose depositata. È più sensibile agli eventi ad alta energia, che contribuiscono di più al danno biologico.</w:t>
      </w:r>
    </w:p>
    <w:p>
      <w:pPr>
        <w:spacing w:after="60" w:before="60"/>
      </w:pPr>
    </w:p>
    <w:p>
      <w:pPr>
        <w:spacing w:after="80" w:before="200"/>
      </w:pPr>
      <w:r>
        <w:rPr>
          <w:rFonts w:ascii="Arial" w:cs="Arial" w:eastAsia="Arial" w:hAnsi="Arial"/>
          <w:b/>
          <w:bCs/>
          <w:color w:val="1F3864"/>
          <w:sz w:val="22"/>
          <w:szCs w:val="22"/>
        </w:rPr>
        <w:t xml:space="preserve">Il Microdosimetric Kinetic Model (MKM)</w:t>
      </w:r>
    </w:p>
    <w:p>
      <w:pPr>
        <w:spacing w:after="60" w:before="60"/>
        <w:jc w:val="both"/>
      </w:pPr>
      <w:r>
        <w:rPr>
          <w:rFonts w:ascii="Arial" w:cs="Arial" w:eastAsia="Arial" w:hAnsi="Arial"/>
          <w:color w:val="000000"/>
          <w:sz w:val="22"/>
          <w:szCs w:val="22"/>
        </w:rPr>
        <w:t xml:space="preserve">Il MKM (Modello Cinetico Microdosimetrico) è un modello radiobiologico che permette di calcolare l’RBE a partire dagli spettri microdosimetrici misurati. Traduce la distribuzione statistica dell’energia depositata a scala cellulare in una previsione dell’effetto biologico sulla sopravvivenza cellulare. È uno degli approcci più fisicamente fondati per la stima dell’RBE dipendente dalla posizione lungo il percorso del fascio.</w:t>
      </w:r>
    </w:p>
    <w:p>
      <w:pPr>
        <w:spacing w:after="60" w:before="60"/>
      </w:pPr>
    </w:p>
    <w:p>
      <w:pPr>
        <w:spacing w:after="80" w:before="200"/>
      </w:pPr>
      <w:r>
        <w:rPr>
          <w:rFonts w:ascii="Arial" w:cs="Arial" w:eastAsia="Arial" w:hAnsi="Arial"/>
          <w:b/>
          <w:bCs/>
          <w:color w:val="1F3864"/>
          <w:sz w:val="22"/>
          <w:szCs w:val="22"/>
        </w:rPr>
        <w:t xml:space="preserve">Il rivelatore e il setup sperimentale</w:t>
      </w:r>
    </w:p>
    <w:p>
      <w:pPr>
        <w:spacing w:after="60" w:before="60"/>
        <w:jc w:val="both"/>
      </w:pPr>
      <w:r>
        <w:rPr>
          <w:rFonts w:ascii="Arial" w:cs="Arial" w:eastAsia="Arial" w:hAnsi="Arial"/>
          <w:color w:val="000000"/>
          <w:sz w:val="22"/>
          <w:szCs w:val="22"/>
        </w:rPr>
        <w:t xml:space="preserve">Il microdosimetro SiC è un diodo p-n custom con strato epitassiale da 10 μm. Il volume microdosimetrico equivalente in acqua (il “spessore idroequivalente”) viene determinato tramite simulazioni Monte Carlo con il codice Geant4. Le misure vengono eseguite con fasci di protoni a 30, 70 e 150 MeV a varie profondità in un fantoccio d’acqua, coprendo l’intero range di energie clinicamente rilevanti in prototerapia.</w:t>
      </w:r>
    </w:p>
    <w:p>
      <w:pPr>
        <w:spacing w:after="60" w:before="60"/>
      </w:pPr>
    </w:p>
    <w:p>
      <w:pPr>
        <w:spacing w:after="80" w:before="200"/>
      </w:pPr>
      <w:r>
        <w:rPr>
          <w:rFonts w:ascii="Arial" w:cs="Arial" w:eastAsia="Arial" w:hAnsi="Arial"/>
          <w:b/>
          <w:bCs/>
          <w:color w:val="1F3864"/>
          <w:sz w:val="22"/>
          <w:szCs w:val="22"/>
        </w:rPr>
        <w:t xml:space="preserve">Confronto con rivelatori di riferimento</w:t>
      </w:r>
    </w:p>
    <w:p>
      <w:pPr>
        <w:spacing w:after="60" w:before="60"/>
        <w:jc w:val="both"/>
      </w:pPr>
      <w:r>
        <w:rPr>
          <w:rFonts w:ascii="Arial" w:cs="Arial" w:eastAsia="Arial" w:hAnsi="Arial"/>
          <w:color w:val="000000"/>
          <w:sz w:val="22"/>
          <w:szCs w:val="22"/>
        </w:rPr>
        <w:t xml:space="preserve">Le prestazioni del SiC vengono confrontate con due sistemi di riferimento ben consolidati:</w:t>
      </w:r>
    </w:p>
    <w:p>
      <w:pPr>
        <w:pStyle w:val="ListParagraph"/>
        <w:numPr>
          <w:ilvl w:val="0"/>
          <w:numId w:val="2"/>
        </w:numPr>
        <w:spacing w:after="40" w:before="40"/>
      </w:pPr>
      <w:r>
        <w:rPr>
          <w:rFonts w:ascii="Arial" w:cs="Arial" w:eastAsia="Arial" w:hAnsi="Arial"/>
          <w:b/>
          <w:bCs/>
          <w:sz w:val="22"/>
          <w:szCs w:val="22"/>
        </w:rPr>
        <w:t xml:space="preserve">MicroPlus (sonda SOI al silicio): </w:t>
      </w:r>
      <w:r>
        <w:rPr>
          <w:rFonts w:ascii="Arial" w:cs="Arial" w:eastAsia="Arial" w:hAnsi="Arial"/>
          <w:sz w:val="22"/>
          <w:szCs w:val="22"/>
        </w:rPr>
        <w:t xml:space="preserve">un microdosimetro commerciale su silicio di alta precisione.</w:t>
      </w:r>
    </w:p>
    <w:p>
      <w:pPr>
        <w:pStyle w:val="ListParagraph"/>
        <w:numPr>
          <w:ilvl w:val="0"/>
          <w:numId w:val="2"/>
        </w:numPr>
        <w:spacing w:after="40" w:before="40"/>
      </w:pPr>
      <w:r>
        <w:rPr>
          <w:rFonts w:ascii="Arial" w:cs="Arial" w:eastAsia="Arial" w:hAnsi="Arial"/>
          <w:b/>
          <w:bCs/>
          <w:sz w:val="22"/>
          <w:szCs w:val="22"/>
        </w:rPr>
        <w:t xml:space="preserve">Diamante monocristallino: </w:t>
      </w:r>
      <w:r>
        <w:rPr>
          <w:rFonts w:ascii="Arial" w:cs="Arial" w:eastAsia="Arial" w:hAnsi="Arial"/>
          <w:sz w:val="22"/>
          <w:szCs w:val="22"/>
        </w:rPr>
        <w:t xml:space="preserve">considerato uno dei migliori materiali per microdosimetria per la sua quasi-equivalenza tissutale, ma costoso e difficile da fabbricare.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Risoluzione energetica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sz w:val="20"/>
                <w:szCs w:val="20"/>
              </w:rPr>
              <w:t xml:space="preserve">~2% sotto irraggiamento alfa — eccellente per un rivelatore a semiconduttore</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Accordo spettri microdosimetrici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sz w:val="20"/>
                <w:szCs w:val="20"/>
              </w:rPr>
              <w:t xml:space="preserve">Buon accordo con MicroPlus e diamante sia a 30 che a 70 che a 150 MeV</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Accordo y_F e y_D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sz w:val="20"/>
                <w:szCs w:val="20"/>
              </w:rPr>
              <w:t xml:space="preserve">Consistenti con i rivelatori di riferimento alle diverse profondità</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Validazione RBE (MKM)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sz w:val="20"/>
                <w:szCs w:val="20"/>
              </w:rPr>
              <w:t xml:space="preserve">I valori di RBE stimati dal SiC concordano con dati radiobiologici sperimentali su cellule U87 glioblastoma</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Primato scientifico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sz w:val="20"/>
                <w:szCs w:val="20"/>
              </w:rPr>
              <w:t xml:space="preserve">Prima caratterizzazione microdosimetrica di un SiC a giunzione p-n su fasci protonici terapeutici</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
              <w:left w:val="single" w:color="1B4F72" w:sz="1"/>
              <w:bottom w:val="single" w:color="1B4F72" w:sz="1"/>
              <w:right w:val="single" w:color="1B4F72" w:sz="1"/>
            </w:tcBorders>
            <w:shd w:fill="FDEDEC" w:val="clear"/>
            <w:tcMar>
              <w:top w:type="dxa" w:w="140"/>
              <w:left w:type="dxa" w:w="240"/>
              <w:bottom w:type="dxa" w:w="140"/>
              <w:right w:type="dxa" w:w="240"/>
            </w:tcMar>
          </w:tcPr>
          <w:p>
            <w:pPr>
              <w:spacing w:after="60" w:before="60"/>
            </w:pPr>
            <w:r>
              <w:rPr>
                <w:rFonts w:ascii="Arial" w:cs="Arial" w:eastAsia="Arial" w:hAnsi="Arial"/>
                <w:b/>
                <w:bCs/>
                <w:color w:val="922B21"/>
                <w:sz w:val="22"/>
                <w:szCs w:val="22"/>
              </w:rPr>
              <w:t xml:space="preserve">🧠  Implicazione radiobiologica: dall’fisica alla clinica</w:t>
            </w:r>
          </w:p>
          <w:p>
            <w:pPr>
              <w:spacing w:after="30" w:before="30"/>
              <w:jc w:val="both"/>
            </w:pPr>
            <w:r>
              <w:rPr>
                <w:rFonts w:ascii="Arial" w:cs="Arial" w:eastAsia="Arial" w:hAnsi="Arial"/>
                <w:sz w:val="21"/>
                <w:szCs w:val="21"/>
              </w:rPr>
              <w:t xml:space="preserve">I valori di RBE calcolati tramite MKM dai dati SiC corrispondono ai valori misurati direttamente su cellule di glioblastoma U87 in esperimenti radiobiologici. Questo significa che il SiC è in grado di fornire informazioni fisiche direttamente trasferibili nella previsione del danno biologico cellulare. È un passo concreto verso piani di trattamento in prototerapia che tengano conto dell’RBE variabile lungo il percorso del fascio, invece di usare il valore fisso di 1.1 attualmente adottato clinicamente.</w:t>
            </w:r>
          </w:p>
        </w:tc>
      </w:tr>
    </w:tbl>
    <w:p>
      <w:pPr>
        <w:spacing w:after="80" w:before="80"/>
      </w:pPr>
    </w:p>
    <w:p>
      <w:pPr>
        <w:spacing w:after="0" w:before="0"/>
      </w:pPr>
      <w:r>
        <w:br w:type="page"/>
      </w:r>
    </w:p>
    <w:p>
      <w:pPr>
        <w:pStyle w:val="Heading1"/>
        <w:spacing w:after="200" w:before="400"/>
      </w:pPr>
      <w:r>
        <w:rPr>
          <w:rFonts w:ascii="Arial" w:cs="Arial" w:eastAsia="Arial" w:hAnsi="Arial"/>
          <w:b/>
          <w:bCs/>
          <w:color w:val="1B4F72"/>
          <w:sz w:val="34"/>
          <w:szCs w:val="34"/>
        </w:rPr>
        <w:t xml:space="preserve">5. Temi Trasversali e Filo Conduttore</w:t>
      </w:r>
    </w:p>
    <w:p>
      <w:pPr>
        <w:spacing w:after="60" w:before="60"/>
        <w:jc w:val="both"/>
      </w:pPr>
      <w:r>
        <w:rPr>
          <w:rFonts w:ascii="Arial" w:cs="Arial" w:eastAsia="Arial" w:hAnsi="Arial"/>
          <w:color w:val="000000"/>
          <w:sz w:val="22"/>
          <w:szCs w:val="22"/>
        </w:rPr>
        <w:t xml:space="preserve">Dall’analisi complessiva emergono quattro grandi temi ricorrenti che attraversano tutti e sei i lavori, rivelando la coerenza strategica della ricerca del gruppo.</w:t>
      </w:r>
    </w:p>
    <w:p>
      <w:pPr>
        <w:spacing w:after="60" w:before="60"/>
      </w:pPr>
    </w:p>
    <w:p>
      <w:pPr>
        <w:pStyle w:val="Heading2"/>
        <w:spacing w:after="120" w:before="280"/>
      </w:pPr>
      <w:r>
        <w:rPr>
          <w:rFonts w:ascii="Arial" w:cs="Arial" w:eastAsia="Arial" w:hAnsi="Arial"/>
          <w:b/>
          <w:bCs/>
          <w:color w:val="2E74B5"/>
          <w:sz w:val="26"/>
          <w:szCs w:val="26"/>
        </w:rPr>
        <w:t xml:space="preserve">5.1 Il SiC come Protagonista di un Decennio di Ricerca</w:t>
      </w:r>
    </w:p>
    <w:p>
      <w:pPr>
        <w:spacing w:after="60" w:before="60"/>
        <w:jc w:val="both"/>
      </w:pPr>
      <w:r>
        <w:rPr>
          <w:rFonts w:ascii="Arial" w:cs="Arial" w:eastAsia="Arial" w:hAnsi="Arial"/>
          <w:color w:val="000000"/>
          <w:sz w:val="22"/>
          <w:szCs w:val="22"/>
        </w:rPr>
        <w:t xml:space="preserve">Il carburo di silicio compare in forma esplicita o come sviluppo diretto in quattro dei sei lavori (documenti 3, 4 — indirettamente —, 5, 6). La progressione è scientificamente coerente: si parte dalla caratterizzazione a basse energie (320 kV, doc. 3), si scala alle energie cliniche di fotoni (6–15 MV, doc. 5), e si approda alle misure microdosimetriche con protoni terapeutici (30–150 MeV, doc. 6). Ogni studio si basa sullo stesso dispositivo fisico — il diodo SiC p-n da 10 μm — testato in condizioni sempre più esigenti.</w:t>
      </w:r>
    </w:p>
    <w:p>
      <w:pPr>
        <w:spacing w:after="40" w:before="40"/>
      </w:pPr>
    </w:p>
    <w:p>
      <w:pPr>
        <w:spacing w:after="60" w:before="60"/>
        <w:jc w:val="both"/>
      </w:pPr>
      <w:r>
        <w:rPr>
          <w:rFonts w:ascii="Arial" w:cs="Arial" w:eastAsia="Arial" w:hAnsi="Arial"/>
          <w:color w:val="000000"/>
          <w:sz w:val="22"/>
          <w:szCs w:val="22"/>
        </w:rPr>
        <w:t xml:space="preserve">Questo approccio “crescente” ha una logica di validazione molto solida: se un rivelatore si dimostra affidabile in contesti diversi, la sua qualità intrinseca è dimostrata da molteplici evidenze indipendenti, non da un singolo esperimento.</w:t>
      </w:r>
    </w:p>
    <w:p>
      <w:pPr>
        <w:spacing w:after="80" w:before="80"/>
      </w:pPr>
    </w:p>
    <w:p>
      <w:pPr>
        <w:pStyle w:val="Heading2"/>
        <w:spacing w:after="120" w:before="280"/>
      </w:pPr>
      <w:r>
        <w:rPr>
          <w:rFonts w:ascii="Arial" w:cs="Arial" w:eastAsia="Arial" w:hAnsi="Arial"/>
          <w:b/>
          <w:bCs/>
          <w:color w:val="2E74B5"/>
          <w:sz w:val="26"/>
          <w:szCs w:val="26"/>
        </w:rPr>
        <w:t xml:space="preserve">5.2 La Sfida FLASH: Dosimetria per la Nuova Frontiera Clinica</w:t>
      </w:r>
    </w:p>
    <w:p>
      <w:pPr>
        <w:spacing w:after="60" w:before="60"/>
        <w:jc w:val="both"/>
      </w:pPr>
      <w:r>
        <w:rPr>
          <w:rFonts w:ascii="Arial" w:cs="Arial" w:eastAsia="Arial" w:hAnsi="Arial"/>
          <w:color w:val="000000"/>
          <w:sz w:val="22"/>
          <w:szCs w:val="22"/>
        </w:rPr>
        <w:t xml:space="preserve">Il documento 4 posiziona il gruppo in uno dei filoni di ricerca più dinamici della medicina moderna. La FLASH radiotherapy non è ancora una pratica clinica consolidata, ma è il tema dominante delle conferenze internazionali di fisica medica e oncologia radioterapica. La validazione di un sistema dosimetrico capace di operare fino a 230 Gy/s con incertezze &lt;2% è un contributo che va ben oltre i confini locali: è un enabler per la comunita’ internazionale che vuole portare la FLASH dalla ricerca preclinica alla clinica.</w:t>
      </w:r>
    </w:p>
    <w:p>
      <w:pPr>
        <w:spacing w:after="80" w:before="80"/>
      </w:pPr>
    </w:p>
    <w:p>
      <w:pPr>
        <w:pStyle w:val="Heading2"/>
        <w:spacing w:after="120" w:before="280"/>
      </w:pPr>
      <w:r>
        <w:rPr>
          <w:rFonts w:ascii="Arial" w:cs="Arial" w:eastAsia="Arial" w:hAnsi="Arial"/>
          <w:b/>
          <w:bCs/>
          <w:color w:val="2E74B5"/>
          <w:sz w:val="26"/>
          <w:szCs w:val="26"/>
        </w:rPr>
        <w:t xml:space="preserve">5.3 Monitoraggio e Sicurezza: il Paziente al Centro</w:t>
      </w:r>
    </w:p>
    <w:p>
      <w:pPr>
        <w:spacing w:after="60" w:before="60"/>
        <w:jc w:val="both"/>
      </w:pPr>
      <w:r>
        <w:rPr>
          <w:rFonts w:ascii="Arial" w:cs="Arial" w:eastAsia="Arial" w:hAnsi="Arial"/>
          <w:color w:val="000000"/>
          <w:sz w:val="22"/>
          <w:szCs w:val="22"/>
        </w:rPr>
        <w:t xml:space="preserve">I documenti 1 e 2 hanno un filo conduttore comune: garantire che la dose che il piano di trattamento ha previsto sia quella che il paziente realmente riceve. Sono due facce dello stesso problema di sicurezza clinica: il documento 1 si occupa di verificare la distribuzione spaziale del fascio prima dell’erogazione (QA geometrico), il documento 2 si occupa di monitorare la dose in tempo reale durante l’erogazione (IVD). Insieme, coprono le due principali fasi del processo di garanzia della qualità radioterapica.</w:t>
      </w:r>
    </w:p>
    <w:p>
      <w:pPr>
        <w:spacing w:after="80" w:before="80"/>
      </w:pPr>
    </w:p>
    <w:p>
      <w:pPr>
        <w:pStyle w:val="Heading2"/>
        <w:spacing w:after="120" w:before="280"/>
      </w:pPr>
      <w:r>
        <w:rPr>
          <w:rFonts w:ascii="Arial" w:cs="Arial" w:eastAsia="Arial" w:hAnsi="Arial"/>
          <w:b/>
          <w:bCs/>
          <w:color w:val="2E74B5"/>
          <w:sz w:val="26"/>
          <w:szCs w:val="26"/>
        </w:rPr>
        <w:t xml:space="preserve">5.4 Radiobiologia Quantitativa: verso la Personalizzazione del Trattamento</w:t>
      </w:r>
    </w:p>
    <w:p>
      <w:pPr>
        <w:spacing w:after="60" w:before="60"/>
        <w:jc w:val="both"/>
      </w:pPr>
      <w:r>
        <w:rPr>
          <w:rFonts w:ascii="Arial" w:cs="Arial" w:eastAsia="Arial" w:hAnsi="Arial"/>
          <w:color w:val="000000"/>
          <w:sz w:val="22"/>
          <w:szCs w:val="22"/>
        </w:rPr>
        <w:t xml:space="preserve">Il documento 6 è il più visionario del set. Non si limita a misurare la dose fisica, ma tenta di tradurla in previsione dell’effetto biologico attraverso il modello MKM. Questo è il fulcro di quello che in letteratura si chiama “biologically-optimized treatment planning”: piani di trattamento che non ottimizzano solo la dose fisica, ma l’effetto biologico atteso, variabile da punto a punto lungo il percorso del fascio. È l’obiettivo finale della next-generation hadrontherapy.</w:t>
      </w:r>
    </w:p>
    <w:p>
      <w:pPr>
        <w:spacing w:after="80" w:before="80"/>
      </w:pPr>
    </w:p>
    <w:p>
      <w:pPr>
        <w:spacing w:after="0" w:before="0"/>
      </w:pPr>
      <w:r>
        <w:br w:type="page"/>
      </w:r>
    </w:p>
    <w:p>
      <w:pPr>
        <w:pStyle w:val="Heading1"/>
        <w:spacing w:after="200" w:before="400"/>
      </w:pPr>
      <w:r>
        <w:rPr>
          <w:rFonts w:ascii="Arial" w:cs="Arial" w:eastAsia="Arial" w:hAnsi="Arial"/>
          <w:b/>
          <w:bCs/>
          <w:color w:val="1B4F72"/>
          <w:sz w:val="34"/>
          <w:szCs w:val="34"/>
        </w:rPr>
        <w:t xml:space="preserve">6. Glossario dei Termini Tecnici</w:t>
      </w:r>
    </w:p>
    <w:p>
      <w:pPr>
        <w:spacing w:after="60" w:before="60"/>
        <w:jc w:val="both"/>
      </w:pPr>
      <w:r>
        <w:rPr>
          <w:rFonts w:ascii="Arial" w:cs="Arial" w:eastAsia="Arial" w:hAnsi="Arial"/>
          <w:color w:val="000000"/>
          <w:sz w:val="22"/>
          <w:szCs w:val="22"/>
        </w:rPr>
        <w:t xml:space="preserve">Di seguito una raccolta dei principali termini tecnici usati in questo report, con definizioni accessibili.</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4F72" w:sz="1"/>
              <w:left w:val="single" w:color="1B4F72" w:sz="1"/>
              <w:bottom w:val="single" w:color="1B4F72" w:sz="1"/>
              <w:right w:val="single" w:color="1B4F72" w:sz="1"/>
            </w:tcBorders>
            <w:shd w:fill="1B4F72" w:val="clear"/>
            <w:tcMar>
              <w:top w:type="dxa" w:w="100"/>
              <w:left w:type="dxa" w:w="160"/>
              <w:bottom w:type="dxa" w:w="100"/>
              <w:right w:type="dxa" w:w="120"/>
            </w:tcMar>
          </w:tcPr>
          <w:p>
            <w:pPr>
              <w:jc w:val="center"/>
            </w:pPr>
            <w:r>
              <w:rPr>
                <w:rFonts w:ascii="Arial" w:cs="Arial" w:eastAsia="Arial" w:hAnsi="Arial"/>
                <w:b/>
                <w:bCs/>
                <w:color w:val="FFFFFF"/>
                <w:sz w:val="21"/>
                <w:szCs w:val="21"/>
              </w:rPr>
              <w:t xml:space="preserve">Dose (Gy, Gray)</w:t>
            </w:r>
          </w:p>
        </w:tc>
        <w:tc>
          <w:tcPr>
            <w:tcW w:type="dxa" w:w="7160"/>
            <w:tcBorders>
              <w:top w:val="single" w:color="1B4F72" w:sz="1"/>
              <w:left w:val="single" w:color="1B4F72" w:sz="1"/>
              <w:bottom w:val="single" w:color="1B4F72" w:sz="1"/>
              <w:right w:val="single" w:color="1B4F72" w:sz="1"/>
            </w:tcBorders>
            <w:shd w:fill="EBF5FB" w:val="clear"/>
            <w:tcMar>
              <w:top w:type="dxa" w:w="100"/>
              <w:left w:type="dxa" w:w="160"/>
              <w:bottom w:type="dxa" w:w="100"/>
              <w:right w:type="dxa" w:w="120"/>
            </w:tcMar>
          </w:tcPr>
          <w:p>
            <w:pPr>
              <w:jc w:val="both"/>
            </w:pPr>
            <w:r>
              <w:rPr>
                <w:rFonts w:ascii="Arial" w:cs="Arial" w:eastAsia="Arial" w:hAnsi="Arial"/>
                <w:sz w:val="21"/>
                <w:szCs w:val="21"/>
              </w:rPr>
              <w:t xml:space="preserve">L’unità di misura della dose assorbita di radiazione ionizzante. 1 Gray = 1 joule di energia assorbita per chilogrammo di materiale. In radioterapia convenzionale si erogano tipicamente 1.8–2 Gy per seduta.</w:t>
            </w:r>
          </w:p>
        </w:tc>
      </w:tr>
    </w:tbl>
    <w:p>
      <w:pPr>
        <w:spacing w:after="3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4F72" w:sz="1"/>
              <w:left w:val="single" w:color="1B4F72" w:sz="1"/>
              <w:bottom w:val="single" w:color="1B4F72" w:sz="1"/>
              <w:right w:val="single" w:color="1B4F72" w:sz="1"/>
            </w:tcBorders>
            <w:shd w:fill="1B4F72" w:val="clear"/>
            <w:tcMar>
              <w:top w:type="dxa" w:w="100"/>
              <w:left w:type="dxa" w:w="160"/>
              <w:bottom w:type="dxa" w:w="100"/>
              <w:right w:type="dxa" w:w="120"/>
            </w:tcMar>
          </w:tcPr>
          <w:p>
            <w:pPr>
              <w:jc w:val="center"/>
            </w:pPr>
            <w:r>
              <w:rPr>
                <w:rFonts w:ascii="Arial" w:cs="Arial" w:eastAsia="Arial" w:hAnsi="Arial"/>
                <w:b/>
                <w:bCs/>
                <w:color w:val="FFFFFF"/>
                <w:sz w:val="21"/>
                <w:szCs w:val="21"/>
              </w:rPr>
              <w:t xml:space="preserve">Dose rate (Gy/s)</w:t>
            </w:r>
          </w:p>
        </w:tc>
        <w:tc>
          <w:tcPr>
            <w:tcW w:type="dxa" w:w="7160"/>
            <w:tcBorders>
              <w:top w:val="single" w:color="1B4F72" w:sz="1"/>
              <w:left w:val="single" w:color="1B4F72" w:sz="1"/>
              <w:bottom w:val="single" w:color="1B4F72" w:sz="1"/>
              <w:right w:val="single" w:color="1B4F72" w:sz="1"/>
            </w:tcBorders>
            <w:shd w:fill="EBF5FB" w:val="clear"/>
            <w:tcMar>
              <w:top w:type="dxa" w:w="100"/>
              <w:left w:type="dxa" w:w="160"/>
              <w:bottom w:type="dxa" w:w="100"/>
              <w:right w:type="dxa" w:w="120"/>
            </w:tcMar>
          </w:tcPr>
          <w:p>
            <w:pPr>
              <w:jc w:val="both"/>
            </w:pPr>
            <w:r>
              <w:rPr>
                <w:rFonts w:ascii="Arial" w:cs="Arial" w:eastAsia="Arial" w:hAnsi="Arial"/>
                <w:sz w:val="21"/>
                <w:szCs w:val="21"/>
              </w:rPr>
              <w:t xml:space="preserve">La velocità con cui viene erogata la dose. La radioterapia convenzionale opera a ~0.01–0.05 Gy/s. La FLASH-RT opera a ≥40 Gy/s, fino a centinaia di Gy/s.</w:t>
            </w:r>
          </w:p>
        </w:tc>
      </w:tr>
    </w:tbl>
    <w:p>
      <w:pPr>
        <w:spacing w:after="3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4F72" w:sz="1"/>
              <w:left w:val="single" w:color="1B4F72" w:sz="1"/>
              <w:bottom w:val="single" w:color="1B4F72" w:sz="1"/>
              <w:right w:val="single" w:color="1B4F72" w:sz="1"/>
            </w:tcBorders>
            <w:shd w:fill="1B4F72" w:val="clear"/>
            <w:tcMar>
              <w:top w:type="dxa" w:w="100"/>
              <w:left w:type="dxa" w:w="160"/>
              <w:bottom w:type="dxa" w:w="100"/>
              <w:right w:type="dxa" w:w="120"/>
            </w:tcMar>
          </w:tcPr>
          <w:p>
            <w:pPr>
              <w:jc w:val="center"/>
            </w:pPr>
            <w:r>
              <w:rPr>
                <w:rFonts w:ascii="Arial" w:cs="Arial" w:eastAsia="Arial" w:hAnsi="Arial"/>
                <w:b/>
                <w:bCs/>
                <w:color w:val="FFFFFF"/>
                <w:sz w:val="21"/>
                <w:szCs w:val="21"/>
              </w:rPr>
              <w:t xml:space="preserve">LET (Linear Energy Transfer, keV/μm)</w:t>
            </w:r>
          </w:p>
        </w:tc>
        <w:tc>
          <w:tcPr>
            <w:tcW w:type="dxa" w:w="7160"/>
            <w:tcBorders>
              <w:top w:val="single" w:color="1B4F72" w:sz="1"/>
              <w:left w:val="single" w:color="1B4F72" w:sz="1"/>
              <w:bottom w:val="single" w:color="1B4F72" w:sz="1"/>
              <w:right w:val="single" w:color="1B4F72" w:sz="1"/>
            </w:tcBorders>
            <w:shd w:fill="EBF5FB" w:val="clear"/>
            <w:tcMar>
              <w:top w:type="dxa" w:w="100"/>
              <w:left w:type="dxa" w:w="160"/>
              <w:bottom w:type="dxa" w:w="100"/>
              <w:right w:type="dxa" w:w="120"/>
            </w:tcMar>
          </w:tcPr>
          <w:p>
            <w:pPr>
              <w:jc w:val="both"/>
            </w:pPr>
            <w:r>
              <w:rPr>
                <w:rFonts w:ascii="Arial" w:cs="Arial" w:eastAsia="Arial" w:hAnsi="Arial"/>
                <w:sz w:val="21"/>
                <w:szCs w:val="21"/>
              </w:rPr>
              <w:t xml:space="preserve">La quantità di energia ceduta dalla particella per unità di lunghezza nel mezzo attraversato. Alte LET (ioni pesanti) creano danni più concentrati e meno riparabili.</w:t>
            </w:r>
          </w:p>
        </w:tc>
      </w:tr>
    </w:tbl>
    <w:p>
      <w:pPr>
        <w:spacing w:after="3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4F72" w:sz="1"/>
              <w:left w:val="single" w:color="1B4F72" w:sz="1"/>
              <w:bottom w:val="single" w:color="1B4F72" w:sz="1"/>
              <w:right w:val="single" w:color="1B4F72" w:sz="1"/>
            </w:tcBorders>
            <w:shd w:fill="1B4F72" w:val="clear"/>
            <w:tcMar>
              <w:top w:type="dxa" w:w="100"/>
              <w:left w:type="dxa" w:w="160"/>
              <w:bottom w:type="dxa" w:w="100"/>
              <w:right w:type="dxa" w:w="120"/>
            </w:tcMar>
          </w:tcPr>
          <w:p>
            <w:pPr>
              <w:jc w:val="center"/>
            </w:pPr>
            <w:r>
              <w:rPr>
                <w:rFonts w:ascii="Arial" w:cs="Arial" w:eastAsia="Arial" w:hAnsi="Arial"/>
                <w:b/>
                <w:bCs/>
                <w:color w:val="FFFFFF"/>
                <w:sz w:val="21"/>
                <w:szCs w:val="21"/>
              </w:rPr>
              <w:t xml:space="preserve">Picco di Bragg</w:t>
            </w:r>
          </w:p>
        </w:tc>
        <w:tc>
          <w:tcPr>
            <w:tcW w:type="dxa" w:w="7160"/>
            <w:tcBorders>
              <w:top w:val="single" w:color="1B4F72" w:sz="1"/>
              <w:left w:val="single" w:color="1B4F72" w:sz="1"/>
              <w:bottom w:val="single" w:color="1B4F72" w:sz="1"/>
              <w:right w:val="single" w:color="1B4F72" w:sz="1"/>
            </w:tcBorders>
            <w:shd w:fill="EBF5FB" w:val="clear"/>
            <w:tcMar>
              <w:top w:type="dxa" w:w="100"/>
              <w:left w:type="dxa" w:w="160"/>
              <w:bottom w:type="dxa" w:w="100"/>
              <w:right w:type="dxa" w:w="120"/>
            </w:tcMar>
          </w:tcPr>
          <w:p>
            <w:pPr>
              <w:jc w:val="both"/>
            </w:pPr>
            <w:r>
              <w:rPr>
                <w:rFonts w:ascii="Arial" w:cs="Arial" w:eastAsia="Arial" w:hAnsi="Arial"/>
                <w:sz w:val="21"/>
                <w:szCs w:val="21"/>
              </w:rPr>
              <w:t xml:space="preserve">Il punto di massima deposizione di energia di una particella carica pesante (protone, ione carbonio) nel momento in cui si ferma. Permettere di concentrare la dose sul tumore.</w:t>
            </w:r>
          </w:p>
        </w:tc>
      </w:tr>
    </w:tbl>
    <w:p>
      <w:pPr>
        <w:spacing w:after="3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4F72" w:sz="1"/>
              <w:left w:val="single" w:color="1B4F72" w:sz="1"/>
              <w:bottom w:val="single" w:color="1B4F72" w:sz="1"/>
              <w:right w:val="single" w:color="1B4F72" w:sz="1"/>
            </w:tcBorders>
            <w:shd w:fill="1B4F72" w:val="clear"/>
            <w:tcMar>
              <w:top w:type="dxa" w:w="100"/>
              <w:left w:type="dxa" w:w="160"/>
              <w:bottom w:type="dxa" w:w="100"/>
              <w:right w:type="dxa" w:w="120"/>
            </w:tcMar>
          </w:tcPr>
          <w:p>
            <w:pPr>
              <w:jc w:val="center"/>
            </w:pPr>
            <w:r>
              <w:rPr>
                <w:rFonts w:ascii="Arial" w:cs="Arial" w:eastAsia="Arial" w:hAnsi="Arial"/>
                <w:b/>
                <w:bCs/>
                <w:color w:val="FFFFFF"/>
                <w:sz w:val="21"/>
                <w:szCs w:val="21"/>
              </w:rPr>
              <w:t xml:space="preserve">RBE (Relative Biological Effectiveness)</w:t>
            </w:r>
          </w:p>
        </w:tc>
        <w:tc>
          <w:tcPr>
            <w:tcW w:type="dxa" w:w="7160"/>
            <w:tcBorders>
              <w:top w:val="single" w:color="1B4F72" w:sz="1"/>
              <w:left w:val="single" w:color="1B4F72" w:sz="1"/>
              <w:bottom w:val="single" w:color="1B4F72" w:sz="1"/>
              <w:right w:val="single" w:color="1B4F72" w:sz="1"/>
            </w:tcBorders>
            <w:shd w:fill="EBF5FB" w:val="clear"/>
            <w:tcMar>
              <w:top w:type="dxa" w:w="100"/>
              <w:left w:type="dxa" w:w="160"/>
              <w:bottom w:type="dxa" w:w="100"/>
              <w:right w:type="dxa" w:w="120"/>
            </w:tcMar>
          </w:tcPr>
          <w:p>
            <w:pPr>
              <w:jc w:val="both"/>
            </w:pPr>
            <w:r>
              <w:rPr>
                <w:rFonts w:ascii="Arial" w:cs="Arial" w:eastAsia="Arial" w:hAnsi="Arial"/>
                <w:sz w:val="21"/>
                <w:szCs w:val="21"/>
              </w:rPr>
              <w:t xml:space="preserve">Rapporto tra la dose di raggi X di riferimento e la dose del fascio in esame necessarie per produrre lo stesso effetto biologico. RBE = 2 significa che è necessaria la metà della dose fisica rispetto ai raggi X per ottenere lo stesso effetto.</w:t>
            </w:r>
          </w:p>
        </w:tc>
      </w:tr>
    </w:tbl>
    <w:p>
      <w:pPr>
        <w:spacing w:after="3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4F72" w:sz="1"/>
              <w:left w:val="single" w:color="1B4F72" w:sz="1"/>
              <w:bottom w:val="single" w:color="1B4F72" w:sz="1"/>
              <w:right w:val="single" w:color="1B4F72" w:sz="1"/>
            </w:tcBorders>
            <w:shd w:fill="1B4F72" w:val="clear"/>
            <w:tcMar>
              <w:top w:type="dxa" w:w="100"/>
              <w:left w:type="dxa" w:w="160"/>
              <w:bottom w:type="dxa" w:w="100"/>
              <w:right w:type="dxa" w:w="120"/>
            </w:tcMar>
          </w:tcPr>
          <w:p>
            <w:pPr>
              <w:jc w:val="center"/>
            </w:pPr>
            <w:r>
              <w:rPr>
                <w:rFonts w:ascii="Arial" w:cs="Arial" w:eastAsia="Arial" w:hAnsi="Arial"/>
                <w:b/>
                <w:bCs/>
                <w:color w:val="FFFFFF"/>
                <w:sz w:val="21"/>
                <w:szCs w:val="21"/>
              </w:rPr>
              <w:t xml:space="preserve">SiC (Silicon Carbide, Carburo di Silicio)</w:t>
            </w:r>
          </w:p>
        </w:tc>
        <w:tc>
          <w:tcPr>
            <w:tcW w:type="dxa" w:w="7160"/>
            <w:tcBorders>
              <w:top w:val="single" w:color="1B4F72" w:sz="1"/>
              <w:left w:val="single" w:color="1B4F72" w:sz="1"/>
              <w:bottom w:val="single" w:color="1B4F72" w:sz="1"/>
              <w:right w:val="single" w:color="1B4F72" w:sz="1"/>
            </w:tcBorders>
            <w:shd w:fill="EBF5FB" w:val="clear"/>
            <w:tcMar>
              <w:top w:type="dxa" w:w="100"/>
              <w:left w:type="dxa" w:w="160"/>
              <w:bottom w:type="dxa" w:w="100"/>
              <w:right w:type="dxa" w:w="120"/>
            </w:tcMar>
          </w:tcPr>
          <w:p>
            <w:pPr>
              <w:jc w:val="both"/>
            </w:pPr>
            <w:r>
              <w:rPr>
                <w:rFonts w:ascii="Arial" w:cs="Arial" w:eastAsia="Arial" w:hAnsi="Arial"/>
                <w:sz w:val="21"/>
                <w:szCs w:val="21"/>
              </w:rPr>
              <w:t xml:space="preserve">Semiconduttore a bandgap largo (~3.26 eV per il polimorfo 4H). Usato in elettronica di potenza e sempre più in fisica medica per le sue eccellenti proprietà di resistenza alle radiazioni e basso rumore.</w:t>
            </w:r>
          </w:p>
        </w:tc>
      </w:tr>
    </w:tbl>
    <w:p>
      <w:pPr>
        <w:spacing w:after="3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4F72" w:sz="1"/>
              <w:left w:val="single" w:color="1B4F72" w:sz="1"/>
              <w:bottom w:val="single" w:color="1B4F72" w:sz="1"/>
              <w:right w:val="single" w:color="1B4F72" w:sz="1"/>
            </w:tcBorders>
            <w:shd w:fill="1B4F72" w:val="clear"/>
            <w:tcMar>
              <w:top w:type="dxa" w:w="100"/>
              <w:left w:type="dxa" w:w="160"/>
              <w:bottom w:type="dxa" w:w="100"/>
              <w:right w:type="dxa" w:w="120"/>
            </w:tcMar>
          </w:tcPr>
          <w:p>
            <w:pPr>
              <w:jc w:val="center"/>
            </w:pPr>
            <w:r>
              <w:rPr>
                <w:rFonts w:ascii="Arial" w:cs="Arial" w:eastAsia="Arial" w:hAnsi="Arial"/>
                <w:b/>
                <w:bCs/>
                <w:color w:val="FFFFFF"/>
                <w:sz w:val="21"/>
                <w:szCs w:val="21"/>
              </w:rPr>
              <w:t xml:space="preserve">Giunzione p-n</w:t>
            </w:r>
          </w:p>
        </w:tc>
        <w:tc>
          <w:tcPr>
            <w:tcW w:type="dxa" w:w="7160"/>
            <w:tcBorders>
              <w:top w:val="single" w:color="1B4F72" w:sz="1"/>
              <w:left w:val="single" w:color="1B4F72" w:sz="1"/>
              <w:bottom w:val="single" w:color="1B4F72" w:sz="1"/>
              <w:right w:val="single" w:color="1B4F72" w:sz="1"/>
            </w:tcBorders>
            <w:shd w:fill="EBF5FB" w:val="clear"/>
            <w:tcMar>
              <w:top w:type="dxa" w:w="100"/>
              <w:left w:type="dxa" w:w="160"/>
              <w:bottom w:type="dxa" w:w="100"/>
              <w:right w:type="dxa" w:w="120"/>
            </w:tcMar>
          </w:tcPr>
          <w:p>
            <w:pPr>
              <w:jc w:val="both"/>
            </w:pPr>
            <w:r>
              <w:rPr>
                <w:rFonts w:ascii="Arial" w:cs="Arial" w:eastAsia="Arial" w:hAnsi="Arial"/>
                <w:sz w:val="21"/>
                <w:szCs w:val="21"/>
              </w:rPr>
              <w:t xml:space="preserve">Interfaccia tra due strati di semiconduttore con diverso drogaggio: uno con eccesso di lacune (tipo p) e uno con eccesso di elettroni (tipo n). Alla giunzione si forma una zona di svuotamento con campo elettrico intenso, che separa le cariche create dalla radiazione.</w:t>
            </w:r>
          </w:p>
        </w:tc>
      </w:tr>
    </w:tbl>
    <w:p>
      <w:pPr>
        <w:spacing w:after="3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4F72" w:sz="1"/>
              <w:left w:val="single" w:color="1B4F72" w:sz="1"/>
              <w:bottom w:val="single" w:color="1B4F72" w:sz="1"/>
              <w:right w:val="single" w:color="1B4F72" w:sz="1"/>
            </w:tcBorders>
            <w:shd w:fill="1B4F72" w:val="clear"/>
            <w:tcMar>
              <w:top w:type="dxa" w:w="100"/>
              <w:left w:type="dxa" w:w="160"/>
              <w:bottom w:type="dxa" w:w="100"/>
              <w:right w:type="dxa" w:w="120"/>
            </w:tcMar>
          </w:tcPr>
          <w:p>
            <w:pPr>
              <w:jc w:val="center"/>
            </w:pPr>
            <w:r>
              <w:rPr>
                <w:rFonts w:ascii="Arial" w:cs="Arial" w:eastAsia="Arial" w:hAnsi="Arial"/>
                <w:b/>
                <w:bCs/>
                <w:color w:val="FFFFFF"/>
                <w:sz w:val="21"/>
                <w:szCs w:val="21"/>
              </w:rPr>
              <w:t xml:space="preserve">QA (Quality Assurance)</w:t>
            </w:r>
          </w:p>
        </w:tc>
        <w:tc>
          <w:tcPr>
            <w:tcW w:type="dxa" w:w="7160"/>
            <w:tcBorders>
              <w:top w:val="single" w:color="1B4F72" w:sz="1"/>
              <w:left w:val="single" w:color="1B4F72" w:sz="1"/>
              <w:bottom w:val="single" w:color="1B4F72" w:sz="1"/>
              <w:right w:val="single" w:color="1B4F72" w:sz="1"/>
            </w:tcBorders>
            <w:shd w:fill="EBF5FB" w:val="clear"/>
            <w:tcMar>
              <w:top w:type="dxa" w:w="100"/>
              <w:left w:type="dxa" w:w="160"/>
              <w:bottom w:type="dxa" w:w="100"/>
              <w:right w:type="dxa" w:w="120"/>
            </w:tcMar>
          </w:tcPr>
          <w:p>
            <w:pPr>
              <w:jc w:val="both"/>
            </w:pPr>
            <w:r>
              <w:rPr>
                <w:rFonts w:ascii="Arial" w:cs="Arial" w:eastAsia="Arial" w:hAnsi="Arial"/>
                <w:sz w:val="21"/>
                <w:szCs w:val="21"/>
              </w:rPr>
              <w:t xml:space="preserve">Insieme di verifiche periodiche eseguite dai fisici medici per garantire che le apparecchiature di trattamento funzionino correttamente e che i fasci abbiano le caratteristiche previste dal piano di cura.</w:t>
            </w:r>
          </w:p>
        </w:tc>
      </w:tr>
    </w:tbl>
    <w:p>
      <w:pPr>
        <w:spacing w:after="3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4F72" w:sz="1"/>
              <w:left w:val="single" w:color="1B4F72" w:sz="1"/>
              <w:bottom w:val="single" w:color="1B4F72" w:sz="1"/>
              <w:right w:val="single" w:color="1B4F72" w:sz="1"/>
            </w:tcBorders>
            <w:shd w:fill="1B4F72" w:val="clear"/>
            <w:tcMar>
              <w:top w:type="dxa" w:w="100"/>
              <w:left w:type="dxa" w:w="160"/>
              <w:bottom w:type="dxa" w:w="100"/>
              <w:right w:type="dxa" w:w="120"/>
            </w:tcMar>
          </w:tcPr>
          <w:p>
            <w:pPr>
              <w:jc w:val="center"/>
            </w:pPr>
            <w:r>
              <w:rPr>
                <w:rFonts w:ascii="Arial" w:cs="Arial" w:eastAsia="Arial" w:hAnsi="Arial"/>
                <w:b/>
                <w:bCs/>
                <w:color w:val="FFFFFF"/>
                <w:sz w:val="21"/>
                <w:szCs w:val="21"/>
              </w:rPr>
              <w:t xml:space="preserve">Dosimetria in vivo (IVD)</w:t>
            </w:r>
          </w:p>
        </w:tc>
        <w:tc>
          <w:tcPr>
            <w:tcW w:type="dxa" w:w="7160"/>
            <w:tcBorders>
              <w:top w:val="single" w:color="1B4F72" w:sz="1"/>
              <w:left w:val="single" w:color="1B4F72" w:sz="1"/>
              <w:bottom w:val="single" w:color="1B4F72" w:sz="1"/>
              <w:right w:val="single" w:color="1B4F72" w:sz="1"/>
            </w:tcBorders>
            <w:shd w:fill="EBF5FB" w:val="clear"/>
            <w:tcMar>
              <w:top w:type="dxa" w:w="100"/>
              <w:left w:type="dxa" w:w="160"/>
              <w:bottom w:type="dxa" w:w="100"/>
              <w:right w:type="dxa" w:w="120"/>
            </w:tcMar>
          </w:tcPr>
          <w:p>
            <w:pPr>
              <w:jc w:val="both"/>
            </w:pPr>
            <w:r>
              <w:rPr>
                <w:rFonts w:ascii="Arial" w:cs="Arial" w:eastAsia="Arial" w:hAnsi="Arial"/>
                <w:sz w:val="21"/>
                <w:szCs w:val="21"/>
              </w:rPr>
              <w:t xml:space="preserve">Misurazione della dose ricevuta dal paziente durante l’erogazione del trattamento, in tempo reale o a posteriori. È un requisito di sicurezza in molti centri.</w:t>
            </w:r>
          </w:p>
        </w:tc>
      </w:tr>
    </w:tbl>
    <w:p>
      <w:pPr>
        <w:spacing w:after="3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4F72" w:sz="1"/>
              <w:left w:val="single" w:color="1B4F72" w:sz="1"/>
              <w:bottom w:val="single" w:color="1B4F72" w:sz="1"/>
              <w:right w:val="single" w:color="1B4F72" w:sz="1"/>
            </w:tcBorders>
            <w:shd w:fill="1B4F72" w:val="clear"/>
            <w:tcMar>
              <w:top w:type="dxa" w:w="100"/>
              <w:left w:type="dxa" w:w="160"/>
              <w:bottom w:type="dxa" w:w="100"/>
              <w:right w:type="dxa" w:w="120"/>
            </w:tcMar>
          </w:tcPr>
          <w:p>
            <w:pPr>
              <w:jc w:val="center"/>
            </w:pPr>
            <w:r>
              <w:rPr>
                <w:rFonts w:ascii="Arial" w:cs="Arial" w:eastAsia="Arial" w:hAnsi="Arial"/>
                <w:b/>
                <w:bCs/>
                <w:color w:val="FFFFFF"/>
                <w:sz w:val="21"/>
                <w:szCs w:val="21"/>
              </w:rPr>
              <w:t xml:space="preserve">Microdosimetria</w:t>
            </w:r>
          </w:p>
        </w:tc>
        <w:tc>
          <w:tcPr>
            <w:tcW w:type="dxa" w:w="7160"/>
            <w:tcBorders>
              <w:top w:val="single" w:color="1B4F72" w:sz="1"/>
              <w:left w:val="single" w:color="1B4F72" w:sz="1"/>
              <w:bottom w:val="single" w:color="1B4F72" w:sz="1"/>
              <w:right w:val="single" w:color="1B4F72" w:sz="1"/>
            </w:tcBorders>
            <w:shd w:fill="EBF5FB" w:val="clear"/>
            <w:tcMar>
              <w:top w:type="dxa" w:w="100"/>
              <w:left w:type="dxa" w:w="160"/>
              <w:bottom w:type="dxa" w:w="100"/>
              <w:right w:type="dxa" w:w="120"/>
            </w:tcMar>
          </w:tcPr>
          <w:p>
            <w:pPr>
              <w:jc w:val="both"/>
            </w:pPr>
            <w:r>
              <w:rPr>
                <w:rFonts w:ascii="Arial" w:cs="Arial" w:eastAsia="Arial" w:hAnsi="Arial"/>
                <w:sz w:val="21"/>
                <w:szCs w:val="21"/>
              </w:rPr>
              <w:t xml:space="preserve">Studio della distribuzione statistica dell’energia depositata in piccoli volumi (scala cellulare, ~μm). Fornisce informazioni più complete sull’effetto biologico rispetto alla semplice dose media.</w:t>
            </w:r>
          </w:p>
        </w:tc>
      </w:tr>
    </w:tbl>
    <w:p>
      <w:pPr>
        <w:spacing w:after="3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4F72" w:sz="1"/>
              <w:left w:val="single" w:color="1B4F72" w:sz="1"/>
              <w:bottom w:val="single" w:color="1B4F72" w:sz="1"/>
              <w:right w:val="single" w:color="1B4F72" w:sz="1"/>
            </w:tcBorders>
            <w:shd w:fill="1B4F72" w:val="clear"/>
            <w:tcMar>
              <w:top w:type="dxa" w:w="100"/>
              <w:left w:type="dxa" w:w="160"/>
              <w:bottom w:type="dxa" w:w="100"/>
              <w:right w:type="dxa" w:w="120"/>
            </w:tcMar>
          </w:tcPr>
          <w:p>
            <w:pPr>
              <w:jc w:val="center"/>
            </w:pPr>
            <w:r>
              <w:rPr>
                <w:rFonts w:ascii="Arial" w:cs="Arial" w:eastAsia="Arial" w:hAnsi="Arial"/>
                <w:b/>
                <w:bCs/>
                <w:color w:val="FFFFFF"/>
                <w:sz w:val="21"/>
                <w:szCs w:val="21"/>
              </w:rPr>
              <w:t xml:space="preserve">Lineal energy (y, keV/μm)</w:t>
            </w:r>
          </w:p>
        </w:tc>
        <w:tc>
          <w:tcPr>
            <w:tcW w:type="dxa" w:w="7160"/>
            <w:tcBorders>
              <w:top w:val="single" w:color="1B4F72" w:sz="1"/>
              <w:left w:val="single" w:color="1B4F72" w:sz="1"/>
              <w:bottom w:val="single" w:color="1B4F72" w:sz="1"/>
              <w:right w:val="single" w:color="1B4F72" w:sz="1"/>
            </w:tcBorders>
            <w:shd w:fill="EBF5FB" w:val="clear"/>
            <w:tcMar>
              <w:top w:type="dxa" w:w="100"/>
              <w:left w:type="dxa" w:w="160"/>
              <w:bottom w:type="dxa" w:w="100"/>
              <w:right w:type="dxa" w:w="120"/>
            </w:tcMar>
          </w:tcPr>
          <w:p>
            <w:pPr>
              <w:jc w:val="both"/>
            </w:pPr>
            <w:r>
              <w:rPr>
                <w:rFonts w:ascii="Arial" w:cs="Arial" w:eastAsia="Arial" w:hAnsi="Arial"/>
                <w:sz w:val="21"/>
                <w:szCs w:val="21"/>
              </w:rPr>
              <w:t xml:space="preserve">Grandezza microdosimetrica: rapporto tra l’energia ceduta in un singolo evento e la lunghezza media della corda del volume microdosimetrico. Descrive la “qualità” della radiazione a scala cellulare.</w:t>
            </w:r>
          </w:p>
        </w:tc>
      </w:tr>
    </w:tbl>
    <w:p>
      <w:pPr>
        <w:spacing w:after="3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4F72" w:sz="1"/>
              <w:left w:val="single" w:color="1B4F72" w:sz="1"/>
              <w:bottom w:val="single" w:color="1B4F72" w:sz="1"/>
              <w:right w:val="single" w:color="1B4F72" w:sz="1"/>
            </w:tcBorders>
            <w:shd w:fill="1B4F72" w:val="clear"/>
            <w:tcMar>
              <w:top w:type="dxa" w:w="100"/>
              <w:left w:type="dxa" w:w="160"/>
              <w:bottom w:type="dxa" w:w="100"/>
              <w:right w:type="dxa" w:w="120"/>
            </w:tcMar>
          </w:tcPr>
          <w:p>
            <w:pPr>
              <w:jc w:val="center"/>
            </w:pPr>
            <w:r>
              <w:rPr>
                <w:rFonts w:ascii="Arial" w:cs="Arial" w:eastAsia="Arial" w:hAnsi="Arial"/>
                <w:b/>
                <w:bCs/>
                <w:color w:val="FFFFFF"/>
                <w:sz w:val="21"/>
                <w:szCs w:val="21"/>
              </w:rPr>
              <w:t xml:space="preserve">MKM (Microdosimetric Kinetic Model)</w:t>
            </w:r>
          </w:p>
        </w:tc>
        <w:tc>
          <w:tcPr>
            <w:tcW w:type="dxa" w:w="7160"/>
            <w:tcBorders>
              <w:top w:val="single" w:color="1B4F72" w:sz="1"/>
              <w:left w:val="single" w:color="1B4F72" w:sz="1"/>
              <w:bottom w:val="single" w:color="1B4F72" w:sz="1"/>
              <w:right w:val="single" w:color="1B4F72" w:sz="1"/>
            </w:tcBorders>
            <w:shd w:fill="EBF5FB" w:val="clear"/>
            <w:tcMar>
              <w:top w:type="dxa" w:w="100"/>
              <w:left w:type="dxa" w:w="160"/>
              <w:bottom w:type="dxa" w:w="100"/>
              <w:right w:type="dxa" w:w="120"/>
            </w:tcMar>
          </w:tcPr>
          <w:p>
            <w:pPr>
              <w:jc w:val="both"/>
            </w:pPr>
            <w:r>
              <w:rPr>
                <w:rFonts w:ascii="Arial" w:cs="Arial" w:eastAsia="Arial" w:hAnsi="Arial"/>
                <w:sz w:val="21"/>
                <w:szCs w:val="21"/>
              </w:rPr>
              <w:t xml:space="preserve">Modello radiobiologico che calcola la sopravvivenza cellulare (e quindi l’RBE) a partire dagli spettri microdosimetrici misurati. È uno degli approcci più fisicamente fondati per l’ottimizzazione biologica del trattamento.</w:t>
            </w:r>
          </w:p>
        </w:tc>
      </w:tr>
    </w:tbl>
    <w:p>
      <w:pPr>
        <w:spacing w:after="3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4F72" w:sz="1"/>
              <w:left w:val="single" w:color="1B4F72" w:sz="1"/>
              <w:bottom w:val="single" w:color="1B4F72" w:sz="1"/>
              <w:right w:val="single" w:color="1B4F72" w:sz="1"/>
            </w:tcBorders>
            <w:shd w:fill="1B4F72" w:val="clear"/>
            <w:tcMar>
              <w:top w:type="dxa" w:w="100"/>
              <w:left w:type="dxa" w:w="160"/>
              <w:bottom w:type="dxa" w:w="100"/>
              <w:right w:type="dxa" w:w="120"/>
            </w:tcMar>
          </w:tcPr>
          <w:p>
            <w:pPr>
              <w:jc w:val="center"/>
            </w:pPr>
            <w:r>
              <w:rPr>
                <w:rFonts w:ascii="Arial" w:cs="Arial" w:eastAsia="Arial" w:hAnsi="Arial"/>
                <w:b/>
                <w:bCs/>
                <w:color w:val="FFFFFF"/>
                <w:sz w:val="21"/>
                <w:szCs w:val="21"/>
              </w:rPr>
              <w:t xml:space="preserve">PDD (Percentage Depth Dose)</w:t>
            </w:r>
          </w:p>
        </w:tc>
        <w:tc>
          <w:tcPr>
            <w:tcW w:type="dxa" w:w="7160"/>
            <w:tcBorders>
              <w:top w:val="single" w:color="1B4F72" w:sz="1"/>
              <w:left w:val="single" w:color="1B4F72" w:sz="1"/>
              <w:bottom w:val="single" w:color="1B4F72" w:sz="1"/>
              <w:right w:val="single" w:color="1B4F72" w:sz="1"/>
            </w:tcBorders>
            <w:shd w:fill="EBF5FB" w:val="clear"/>
            <w:tcMar>
              <w:top w:type="dxa" w:w="100"/>
              <w:left w:type="dxa" w:w="160"/>
              <w:bottom w:type="dxa" w:w="100"/>
              <w:right w:type="dxa" w:w="120"/>
            </w:tcMar>
          </w:tcPr>
          <w:p>
            <w:pPr>
              <w:jc w:val="both"/>
            </w:pPr>
            <w:r>
              <w:rPr>
                <w:rFonts w:ascii="Arial" w:cs="Arial" w:eastAsia="Arial" w:hAnsi="Arial"/>
                <w:sz w:val="21"/>
                <w:szCs w:val="21"/>
              </w:rPr>
              <w:t xml:space="preserve">Curva che descrive come la dose depositata varia con la profondità nel tessuto. Fondamentale per la pianificazione del trattamento e per verificare che il picco di dose (Bragg o d_max) sia nella posizione corretta.</w:t>
            </w:r>
          </w:p>
        </w:tc>
      </w:tr>
    </w:tbl>
    <w:p>
      <w:pPr>
        <w:spacing w:after="3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4F72" w:sz="1"/>
              <w:left w:val="single" w:color="1B4F72" w:sz="1"/>
              <w:bottom w:val="single" w:color="1B4F72" w:sz="1"/>
              <w:right w:val="single" w:color="1B4F72" w:sz="1"/>
            </w:tcBorders>
            <w:shd w:fill="1B4F72" w:val="clear"/>
            <w:tcMar>
              <w:top w:type="dxa" w:w="100"/>
              <w:left w:type="dxa" w:w="160"/>
              <w:bottom w:type="dxa" w:w="100"/>
              <w:right w:type="dxa" w:w="120"/>
            </w:tcMar>
          </w:tcPr>
          <w:p>
            <w:pPr>
              <w:jc w:val="center"/>
            </w:pPr>
            <w:r>
              <w:rPr>
                <w:rFonts w:ascii="Arial" w:cs="Arial" w:eastAsia="Arial" w:hAnsi="Arial"/>
                <w:b/>
                <w:bCs/>
                <w:color w:val="FFFFFF"/>
                <w:sz w:val="21"/>
                <w:szCs w:val="21"/>
              </w:rPr>
              <w:t xml:space="preserve">SEM (Secondary Emission Monitor)</w:t>
            </w:r>
          </w:p>
        </w:tc>
        <w:tc>
          <w:tcPr>
            <w:tcW w:type="dxa" w:w="7160"/>
            <w:tcBorders>
              <w:top w:val="single" w:color="1B4F72" w:sz="1"/>
              <w:left w:val="single" w:color="1B4F72" w:sz="1"/>
              <w:bottom w:val="single" w:color="1B4F72" w:sz="1"/>
              <w:right w:val="single" w:color="1B4F72" w:sz="1"/>
            </w:tcBorders>
            <w:shd w:fill="EBF5FB" w:val="clear"/>
            <w:tcMar>
              <w:top w:type="dxa" w:w="100"/>
              <w:left w:type="dxa" w:w="160"/>
              <w:bottom w:type="dxa" w:w="100"/>
              <w:right w:type="dxa" w:w="120"/>
            </w:tcMar>
          </w:tcPr>
          <w:p>
            <w:pPr>
              <w:jc w:val="both"/>
            </w:pPr>
            <w:r>
              <w:rPr>
                <w:rFonts w:ascii="Arial" w:cs="Arial" w:eastAsia="Arial" w:hAnsi="Arial"/>
                <w:sz w:val="21"/>
                <w:szCs w:val="21"/>
              </w:rPr>
              <w:t xml:space="preserve">Rivelatore sottile (15 μm di tantalio) in trasmissione che misura la corrente del fascio tramite l’emissione di elettroni secondari. Non ferma il fascio e non perturba la misura.</w:t>
            </w:r>
          </w:p>
        </w:tc>
      </w:tr>
    </w:tbl>
    <w:p>
      <w:pPr>
        <w:spacing w:after="3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4F72" w:sz="1"/>
              <w:left w:val="single" w:color="1B4F72" w:sz="1"/>
              <w:bottom w:val="single" w:color="1B4F72" w:sz="1"/>
              <w:right w:val="single" w:color="1B4F72" w:sz="1"/>
            </w:tcBorders>
            <w:shd w:fill="1B4F72" w:val="clear"/>
            <w:tcMar>
              <w:top w:type="dxa" w:w="100"/>
              <w:left w:type="dxa" w:w="160"/>
              <w:bottom w:type="dxa" w:w="100"/>
              <w:right w:type="dxa" w:w="120"/>
            </w:tcMar>
          </w:tcPr>
          <w:p>
            <w:pPr>
              <w:jc w:val="center"/>
            </w:pPr>
            <w:r>
              <w:rPr>
                <w:rFonts w:ascii="Arial" w:cs="Arial" w:eastAsia="Arial" w:hAnsi="Arial"/>
                <w:b/>
                <w:bCs/>
                <w:color w:val="FFFFFF"/>
                <w:sz w:val="21"/>
                <w:szCs w:val="21"/>
              </w:rPr>
              <w:t xml:space="preserve">Faraday Cup (FC)</w:t>
            </w:r>
          </w:p>
        </w:tc>
        <w:tc>
          <w:tcPr>
            <w:tcW w:type="dxa" w:w="7160"/>
            <w:tcBorders>
              <w:top w:val="single" w:color="1B4F72" w:sz="1"/>
              <w:left w:val="single" w:color="1B4F72" w:sz="1"/>
              <w:bottom w:val="single" w:color="1B4F72" w:sz="1"/>
              <w:right w:val="single" w:color="1B4F72" w:sz="1"/>
            </w:tcBorders>
            <w:shd w:fill="EBF5FB" w:val="clear"/>
            <w:tcMar>
              <w:top w:type="dxa" w:w="100"/>
              <w:left w:type="dxa" w:w="160"/>
              <w:bottom w:type="dxa" w:w="100"/>
              <w:right w:type="dxa" w:w="120"/>
            </w:tcMar>
          </w:tcPr>
          <w:p>
            <w:pPr>
              <w:jc w:val="both"/>
            </w:pPr>
            <w:r>
              <w:rPr>
                <w:rFonts w:ascii="Arial" w:cs="Arial" w:eastAsia="Arial" w:hAnsi="Arial"/>
                <w:sz w:val="21"/>
                <w:szCs w:val="21"/>
              </w:rPr>
              <w:t xml:space="preserve">Dispositivo che raccoglie fisicamente tutte le cariche delle particelle del fascio, fermandolo completamente. È il riferimento assoluto più diretto per la misura della carica e della dose.</w:t>
            </w:r>
          </w:p>
        </w:tc>
      </w:tr>
    </w:tbl>
    <w:p>
      <w:pPr>
        <w:spacing w:after="3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4F72" w:sz="1"/>
              <w:left w:val="single" w:color="1B4F72" w:sz="1"/>
              <w:bottom w:val="single" w:color="1B4F72" w:sz="1"/>
              <w:right w:val="single" w:color="1B4F72" w:sz="1"/>
            </w:tcBorders>
            <w:shd w:fill="1B4F72" w:val="clear"/>
            <w:tcMar>
              <w:top w:type="dxa" w:w="100"/>
              <w:left w:type="dxa" w:w="160"/>
              <w:bottom w:type="dxa" w:w="100"/>
              <w:right w:type="dxa" w:w="120"/>
            </w:tcMar>
          </w:tcPr>
          <w:p>
            <w:pPr>
              <w:jc w:val="center"/>
            </w:pPr>
            <w:r>
              <w:rPr>
                <w:rFonts w:ascii="Arial" w:cs="Arial" w:eastAsia="Arial" w:hAnsi="Arial"/>
                <w:b/>
                <w:bCs/>
                <w:color w:val="FFFFFF"/>
                <w:sz w:val="21"/>
                <w:szCs w:val="21"/>
              </w:rPr>
              <w:t xml:space="preserve">Boag-Wilson (teoria di)</w:t>
            </w:r>
          </w:p>
        </w:tc>
        <w:tc>
          <w:tcPr>
            <w:tcW w:type="dxa" w:w="7160"/>
            <w:tcBorders>
              <w:top w:val="single" w:color="1B4F72" w:sz="1"/>
              <w:left w:val="single" w:color="1B4F72" w:sz="1"/>
              <w:bottom w:val="single" w:color="1B4F72" w:sz="1"/>
              <w:right w:val="single" w:color="1B4F72" w:sz="1"/>
            </w:tcBorders>
            <w:shd w:fill="EBF5FB" w:val="clear"/>
            <w:tcMar>
              <w:top w:type="dxa" w:w="100"/>
              <w:left w:type="dxa" w:w="160"/>
              <w:bottom w:type="dxa" w:w="100"/>
              <w:right w:type="dxa" w:w="120"/>
            </w:tcMar>
          </w:tcPr>
          <w:p>
            <w:pPr>
              <w:jc w:val="both"/>
            </w:pPr>
            <w:r>
              <w:rPr>
                <w:rFonts w:ascii="Arial" w:cs="Arial" w:eastAsia="Arial" w:hAnsi="Arial"/>
                <w:sz w:val="21"/>
                <w:szCs w:val="21"/>
              </w:rPr>
              <w:t xml:space="preserve">Modello fisico che descrive la ricombinazione ionica nelle camere di ionizzazione ad alto dose rate. Permette di correggere la sottostima della dose misurata a dose rate molto elevati, come in FLASH-RT.</w:t>
            </w:r>
          </w:p>
        </w:tc>
      </w:tr>
    </w:tbl>
    <w:p>
      <w:pPr>
        <w:spacing w:after="3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4F72" w:sz="1"/>
              <w:left w:val="single" w:color="1B4F72" w:sz="1"/>
              <w:bottom w:val="single" w:color="1B4F72" w:sz="1"/>
              <w:right w:val="single" w:color="1B4F72" w:sz="1"/>
            </w:tcBorders>
            <w:shd w:fill="1B4F72" w:val="clear"/>
            <w:tcMar>
              <w:top w:type="dxa" w:w="100"/>
              <w:left w:type="dxa" w:w="160"/>
              <w:bottom w:type="dxa" w:w="100"/>
              <w:right w:type="dxa" w:w="120"/>
            </w:tcMar>
          </w:tcPr>
          <w:p>
            <w:pPr>
              <w:jc w:val="center"/>
            </w:pPr>
            <w:r>
              <w:rPr>
                <w:rFonts w:ascii="Arial" w:cs="Arial" w:eastAsia="Arial" w:hAnsi="Arial"/>
                <w:b/>
                <w:bCs/>
                <w:color w:val="FFFFFF"/>
                <w:sz w:val="21"/>
                <w:szCs w:val="21"/>
              </w:rPr>
              <w:t xml:space="preserve">Geant4</w:t>
            </w:r>
          </w:p>
        </w:tc>
        <w:tc>
          <w:tcPr>
            <w:tcW w:type="dxa" w:w="7160"/>
            <w:tcBorders>
              <w:top w:val="single" w:color="1B4F72" w:sz="1"/>
              <w:left w:val="single" w:color="1B4F72" w:sz="1"/>
              <w:bottom w:val="single" w:color="1B4F72" w:sz="1"/>
              <w:right w:val="single" w:color="1B4F72" w:sz="1"/>
            </w:tcBorders>
            <w:shd w:fill="EBF5FB" w:val="clear"/>
            <w:tcMar>
              <w:top w:type="dxa" w:w="100"/>
              <w:left w:type="dxa" w:w="160"/>
              <w:bottom w:type="dxa" w:w="100"/>
              <w:right w:type="dxa" w:w="120"/>
            </w:tcMar>
          </w:tcPr>
          <w:p>
            <w:pPr>
              <w:jc w:val="both"/>
            </w:pPr>
            <w:r>
              <w:rPr>
                <w:rFonts w:ascii="Arial" w:cs="Arial" w:eastAsia="Arial" w:hAnsi="Arial"/>
                <w:sz w:val="21"/>
                <w:szCs w:val="21"/>
              </w:rPr>
              <w:t xml:space="preserve">Framework di simulazione Monte Carlo sviluppato al CERN, usato per simulare il trasporto di particelle attraverso la materia. È lo standard de facto in fisica medica e nucleare.</w:t>
            </w:r>
          </w:p>
        </w:tc>
      </w:tr>
    </w:tbl>
    <w:p>
      <w:pPr>
        <w:spacing w:after="3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4F72" w:sz="1"/>
              <w:left w:val="single" w:color="1B4F72" w:sz="1"/>
              <w:bottom w:val="single" w:color="1B4F72" w:sz="1"/>
              <w:right w:val="single" w:color="1B4F72" w:sz="1"/>
            </w:tcBorders>
            <w:shd w:fill="1B4F72" w:val="clear"/>
            <w:tcMar>
              <w:top w:type="dxa" w:w="100"/>
              <w:left w:type="dxa" w:w="160"/>
              <w:bottom w:type="dxa" w:w="100"/>
              <w:right w:type="dxa" w:w="120"/>
            </w:tcMar>
          </w:tcPr>
          <w:p>
            <w:pPr>
              <w:jc w:val="center"/>
            </w:pPr>
            <w:r>
              <w:rPr>
                <w:rFonts w:ascii="Arial" w:cs="Arial" w:eastAsia="Arial" w:hAnsi="Arial"/>
                <w:b/>
                <w:bCs/>
                <w:color w:val="FFFFFF"/>
                <w:sz w:val="21"/>
                <w:szCs w:val="21"/>
              </w:rPr>
              <w:t xml:space="preserve">CATANA</w:t>
            </w:r>
          </w:p>
        </w:tc>
        <w:tc>
          <w:tcPr>
            <w:tcW w:type="dxa" w:w="7160"/>
            <w:tcBorders>
              <w:top w:val="single" w:color="1B4F72" w:sz="1"/>
              <w:left w:val="single" w:color="1B4F72" w:sz="1"/>
              <w:bottom w:val="single" w:color="1B4F72" w:sz="1"/>
              <w:right w:val="single" w:color="1B4F72" w:sz="1"/>
            </w:tcBorders>
            <w:shd w:fill="EBF5FB" w:val="clear"/>
            <w:tcMar>
              <w:top w:type="dxa" w:w="100"/>
              <w:left w:type="dxa" w:w="160"/>
              <w:bottom w:type="dxa" w:w="100"/>
              <w:right w:type="dxa" w:w="120"/>
            </w:tcMar>
          </w:tcPr>
          <w:p>
            <w:pPr>
              <w:jc w:val="both"/>
            </w:pPr>
            <w:r>
              <w:rPr>
                <w:rFonts w:ascii="Arial" w:cs="Arial" w:eastAsia="Arial" w:hAnsi="Arial"/>
                <w:sz w:val="21"/>
                <w:szCs w:val="21"/>
              </w:rPr>
              <w:t xml:space="preserve">Centro di AdroTerapia e Applicazioni Nucleari Avanzate — la struttura di prototerapia dell’INFN-LNS di Catania, attiva dal 2002 per il trattamento di melanomi oculari con protoni da 62 MeV.</w:t>
            </w:r>
          </w:p>
        </w:tc>
      </w:tr>
    </w:tbl>
    <w:p>
      <w:pPr>
        <w:spacing w:after="30" w:before="30"/>
      </w:pPr>
    </w:p>
    <w:p>
      <w:pPr>
        <w:spacing w:after="80" w:before="80"/>
      </w:pPr>
    </w:p>
    <w:p>
      <w:pPr>
        <w:spacing w:after="0" w:before="0"/>
      </w:pPr>
      <w:r>
        <w:br w:type="page"/>
      </w:r>
    </w:p>
    <w:p>
      <w:pPr>
        <w:pStyle w:val="Heading1"/>
        <w:spacing w:after="200" w:before="400"/>
      </w:pPr>
      <w:r>
        <w:rPr>
          <w:rFonts w:ascii="Arial" w:cs="Arial" w:eastAsia="Arial" w:hAnsi="Arial"/>
          <w:b/>
          <w:bCs/>
          <w:color w:val="1B4F72"/>
          <w:sz w:val="34"/>
          <w:szCs w:val="34"/>
        </w:rPr>
        <w:t xml:space="preserve">7. Riepilogo Comparativo e Conclusioni</w:t>
      </w:r>
    </w:p>
    <w:p>
      <w:pPr>
        <w:pStyle w:val="Heading2"/>
        <w:spacing w:after="120" w:before="280"/>
      </w:pPr>
      <w:r>
        <w:rPr>
          <w:rFonts w:ascii="Arial" w:cs="Arial" w:eastAsia="Arial" w:hAnsi="Arial"/>
          <w:b/>
          <w:bCs/>
          <w:color w:val="2E74B5"/>
          <w:sz w:val="26"/>
          <w:szCs w:val="26"/>
        </w:rPr>
        <w:t xml:space="preserve">7.1 Tabella Riepilogativa dei Sei Lavori</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480"/>
        <w:gridCol w:w="1680"/>
        <w:gridCol w:w="1280"/>
        <w:gridCol w:w="4400"/>
      </w:tblGrid>
      <w:tr>
        <w:trPr>
          <w:tblHeader/>
        </w:trPr>
        <w:tc>
          <w:tcPr>
            <w:tcW w:type="dxa" w:w="520"/>
            <w:tcBorders>
              <w:top w:val="single" w:color="1B4F72" w:sz="1"/>
              <w:left w:val="single" w:color="1B4F72" w:sz="1"/>
              <w:bottom w:val="single" w:color="1B4F72" w:sz="1"/>
              <w:right w:val="single" w:color="1B4F72" w:sz="1"/>
            </w:tcBorders>
            <w:shd w:fill="1B4F72" w:val="clear"/>
            <w:tcMar>
              <w:top w:type="dxa" w:w="80"/>
              <w:left w:type="dxa" w:w="80"/>
              <w:bottom w:type="dxa" w:w="80"/>
              <w:right w:type="dxa" w:w="60"/>
            </w:tcMar>
          </w:tcPr>
          <w:p>
            <w:pPr>
              <w:jc w:val="center"/>
            </w:pPr>
            <w:r>
              <w:rPr>
                <w:rFonts w:ascii="Arial" w:cs="Arial" w:eastAsia="Arial" w:hAnsi="Arial"/>
                <w:b/>
                <w:bCs/>
                <w:color w:val="FFFFFF"/>
                <w:sz w:val="18"/>
                <w:szCs w:val="18"/>
              </w:rPr>
              <w:t xml:space="preserve">#</w:t>
            </w:r>
          </w:p>
        </w:tc>
        <w:tc>
          <w:tcPr>
            <w:tcW w:type="dxa" w:w="1480"/>
            <w:tcBorders>
              <w:top w:val="single" w:color="1B4F72" w:sz="1"/>
              <w:left w:val="single" w:color="1B4F72" w:sz="1"/>
              <w:bottom w:val="single" w:color="1B4F72" w:sz="1"/>
              <w:right w:val="single" w:color="1B4F72" w:sz="1"/>
            </w:tcBorders>
            <w:shd w:fill="1B4F72" w:val="clear"/>
            <w:tcMar>
              <w:top w:type="dxa" w:w="80"/>
              <w:left w:type="dxa" w:w="80"/>
              <w:bottom w:type="dxa" w:w="80"/>
              <w:right w:type="dxa" w:w="60"/>
            </w:tcMar>
          </w:tcPr>
          <w:p>
            <w:pPr>
              <w:jc w:val="center"/>
            </w:pPr>
            <w:r>
              <w:rPr>
                <w:rFonts w:ascii="Arial" w:cs="Arial" w:eastAsia="Arial" w:hAnsi="Arial"/>
                <w:b/>
                <w:bCs/>
                <w:color w:val="FFFFFF"/>
                <w:sz w:val="18"/>
                <w:szCs w:val="18"/>
              </w:rPr>
              <w:t xml:space="preserve">Primo autore / Anno</w:t>
            </w:r>
          </w:p>
        </w:tc>
        <w:tc>
          <w:tcPr>
            <w:tcW w:type="dxa" w:w="1680"/>
            <w:tcBorders>
              <w:top w:val="single" w:color="1B4F72" w:sz="1"/>
              <w:left w:val="single" w:color="1B4F72" w:sz="1"/>
              <w:bottom w:val="single" w:color="1B4F72" w:sz="1"/>
              <w:right w:val="single" w:color="1B4F72" w:sz="1"/>
            </w:tcBorders>
            <w:shd w:fill="1B4F72" w:val="clear"/>
            <w:tcMar>
              <w:top w:type="dxa" w:w="80"/>
              <w:left w:type="dxa" w:w="80"/>
              <w:bottom w:type="dxa" w:w="80"/>
              <w:right w:type="dxa" w:w="60"/>
            </w:tcMar>
          </w:tcPr>
          <w:p>
            <w:pPr>
              <w:jc w:val="center"/>
            </w:pPr>
            <w:r>
              <w:rPr>
                <w:rFonts w:ascii="Arial" w:cs="Arial" w:eastAsia="Arial" w:hAnsi="Arial"/>
                <w:b/>
                <w:bCs/>
                <w:color w:val="FFFFFF"/>
                <w:sz w:val="18"/>
                <w:szCs w:val="18"/>
              </w:rPr>
              <w:t xml:space="preserve">Fascio</w:t>
            </w:r>
          </w:p>
        </w:tc>
        <w:tc>
          <w:tcPr>
            <w:tcW w:type="dxa" w:w="1280"/>
            <w:tcBorders>
              <w:top w:val="single" w:color="1B4F72" w:sz="1"/>
              <w:left w:val="single" w:color="1B4F72" w:sz="1"/>
              <w:bottom w:val="single" w:color="1B4F72" w:sz="1"/>
              <w:right w:val="single" w:color="1B4F72" w:sz="1"/>
            </w:tcBorders>
            <w:shd w:fill="1B4F72" w:val="clear"/>
            <w:tcMar>
              <w:top w:type="dxa" w:w="80"/>
              <w:left w:type="dxa" w:w="80"/>
              <w:bottom w:type="dxa" w:w="80"/>
              <w:right w:type="dxa" w:w="60"/>
            </w:tcMar>
          </w:tcPr>
          <w:p>
            <w:pPr>
              <w:jc w:val="center"/>
            </w:pPr>
            <w:r>
              <w:rPr>
                <w:rFonts w:ascii="Arial" w:cs="Arial" w:eastAsia="Arial" w:hAnsi="Arial"/>
                <w:b/>
                <w:bCs/>
                <w:color w:val="FFFFFF"/>
                <w:sz w:val="18"/>
                <w:szCs w:val="18"/>
              </w:rPr>
              <w:t xml:space="preserve">Rivista</w:t>
            </w:r>
          </w:p>
        </w:tc>
        <w:tc>
          <w:tcPr>
            <w:tcW w:type="dxa" w:w="4400"/>
            <w:tcBorders>
              <w:top w:val="single" w:color="1B4F72" w:sz="1"/>
              <w:left w:val="single" w:color="1B4F72" w:sz="1"/>
              <w:bottom w:val="single" w:color="1B4F72" w:sz="1"/>
              <w:right w:val="single" w:color="1B4F72" w:sz="1"/>
            </w:tcBorders>
            <w:shd w:fill="1B4F72" w:val="clear"/>
            <w:tcMar>
              <w:top w:type="dxa" w:w="80"/>
              <w:left w:type="dxa" w:w="80"/>
              <w:bottom w:type="dxa" w:w="80"/>
              <w:right w:type="dxa" w:w="60"/>
            </w:tcMar>
          </w:tcPr>
          <w:p>
            <w:pPr>
              <w:jc w:val="center"/>
            </w:pPr>
            <w:r>
              <w:rPr>
                <w:rFonts w:ascii="Arial" w:cs="Arial" w:eastAsia="Arial" w:hAnsi="Arial"/>
                <w:b/>
                <w:bCs/>
                <w:color w:val="FFFFFF"/>
                <w:sz w:val="18"/>
                <w:szCs w:val="18"/>
              </w:rPr>
              <w:t xml:space="preserve">Contributo principale</w:t>
            </w:r>
          </w:p>
        </w:tc>
      </w:tr>
      <w:tr>
        <w:tc>
          <w:tcPr>
            <w:tcW w:type="dxa" w:w="520"/>
            <w:tcBorders>
              <w:top w:val="single" w:color="CCCCCC" w:sz="1"/>
              <w:left w:val="single" w:color="CCCCCC" w:sz="1"/>
              <w:bottom w:val="single" w:color="CCCCCC" w:sz="1"/>
              <w:right w:val="single" w:color="CCCCCC" w:sz="1"/>
            </w:tcBorders>
            <w:shd w:fill="EBF5FB" w:val="clear"/>
            <w:tcMar>
              <w:top w:type="dxa" w:w="80"/>
              <w:left w:type="dxa" w:w="80"/>
              <w:bottom w:type="dxa" w:w="80"/>
              <w:right w:type="dxa" w:w="60"/>
            </w:tcMar>
          </w:tcPr>
          <w:p>
            <w:pPr>
              <w:jc w:val="center"/>
            </w:pPr>
            <w:r>
              <w:rPr>
                <w:rFonts w:ascii="Arial" w:cs="Arial" w:eastAsia="Arial" w:hAnsi="Arial"/>
                <w:b/>
                <w:bCs/>
                <w:sz w:val="18"/>
                <w:szCs w:val="18"/>
              </w:rPr>
              <w:t xml:space="preserve">1</w:t>
            </w:r>
          </w:p>
        </w:tc>
        <w:tc>
          <w:tcPr>
            <w:tcW w:type="dxa" w:w="1480"/>
            <w:tcBorders>
              <w:top w:val="single" w:color="CCCCCC" w:sz="1"/>
              <w:left w:val="single" w:color="CCCCCC" w:sz="1"/>
              <w:bottom w:val="single" w:color="CCCCCC" w:sz="1"/>
              <w:right w:val="single" w:color="CCCCCC" w:sz="1"/>
            </w:tcBorders>
            <w:shd w:fill="EBF5FB" w:val="clear"/>
            <w:tcMar>
              <w:top w:type="dxa" w:w="80"/>
              <w:left w:type="dxa" w:w="80"/>
              <w:bottom w:type="dxa" w:w="80"/>
              <w:right w:type="dxa" w:w="60"/>
            </w:tcMar>
          </w:tcPr>
          <w:p>
            <w:r>
              <w:rPr>
                <w:rFonts w:ascii="Arial" w:cs="Arial" w:eastAsia="Arial" w:hAnsi="Arial"/>
                <w:sz w:val="17"/>
                <w:szCs w:val="17"/>
              </w:rPr>
              <w:t xml:space="preserve">Catalano
2020</w:t>
            </w:r>
          </w:p>
        </w:tc>
        <w:tc>
          <w:tcPr>
            <w:tcW w:type="dxa" w:w="1680"/>
            <w:tcBorders>
              <w:top w:val="single" w:color="CCCCCC" w:sz="1"/>
              <w:left w:val="single" w:color="CCCCCC" w:sz="1"/>
              <w:bottom w:val="single" w:color="CCCCCC" w:sz="1"/>
              <w:right w:val="single" w:color="CCCCCC" w:sz="1"/>
            </w:tcBorders>
            <w:shd w:fill="EBF5FB" w:val="clear"/>
            <w:tcMar>
              <w:top w:type="dxa" w:w="80"/>
              <w:left w:type="dxa" w:w="80"/>
              <w:bottom w:type="dxa" w:w="80"/>
              <w:right w:type="dxa" w:w="60"/>
            </w:tcMar>
          </w:tcPr>
          <w:p>
            <w:r>
              <w:rPr>
                <w:rFonts w:ascii="Arial" w:cs="Arial" w:eastAsia="Arial" w:hAnsi="Arial"/>
                <w:sz w:val="17"/>
                <w:szCs w:val="17"/>
              </w:rPr>
              <w:t xml:space="preserve">Protoni
62 MeV</w:t>
            </w:r>
          </w:p>
        </w:tc>
        <w:tc>
          <w:tcPr>
            <w:tcW w:type="dxa" w:w="1280"/>
            <w:tcBorders>
              <w:top w:val="single" w:color="CCCCCC" w:sz="1"/>
              <w:left w:val="single" w:color="CCCCCC" w:sz="1"/>
              <w:bottom w:val="single" w:color="CCCCCC" w:sz="1"/>
              <w:right w:val="single" w:color="CCCCCC" w:sz="1"/>
            </w:tcBorders>
            <w:shd w:fill="EBF5FB" w:val="clear"/>
            <w:tcMar>
              <w:top w:type="dxa" w:w="80"/>
              <w:left w:type="dxa" w:w="80"/>
              <w:bottom w:type="dxa" w:w="80"/>
              <w:right w:type="dxa" w:w="60"/>
            </w:tcMar>
          </w:tcPr>
          <w:p>
            <w:r>
              <w:rPr>
                <w:rFonts w:ascii="Arial" w:cs="Arial" w:eastAsia="Arial" w:hAnsi="Arial"/>
                <w:sz w:val="17"/>
                <w:szCs w:val="17"/>
              </w:rPr>
              <w:t xml:space="preserve">Physica
Medica</w:t>
            </w:r>
          </w:p>
        </w:tc>
        <w:tc>
          <w:tcPr>
            <w:tcW w:type="dxa" w:w="4400"/>
            <w:tcBorders>
              <w:top w:val="single" w:color="CCCCCC" w:sz="1"/>
              <w:left w:val="single" w:color="CCCCCC" w:sz="1"/>
              <w:bottom w:val="single" w:color="CCCCCC" w:sz="1"/>
              <w:right w:val="single" w:color="CCCCCC" w:sz="1"/>
            </w:tcBorders>
            <w:shd w:fill="EBF5FB" w:val="clear"/>
            <w:tcMar>
              <w:top w:type="dxa" w:w="80"/>
              <w:left w:type="dxa" w:w="80"/>
              <w:bottom w:type="dxa" w:w="80"/>
              <w:right w:type="dxa" w:w="60"/>
            </w:tcMar>
          </w:tcPr>
          <w:p>
            <w:pPr>
              <w:jc w:val="both"/>
            </w:pPr>
            <w:r>
              <w:rPr>
                <w:rFonts w:ascii="Arial" w:cs="Arial" w:eastAsia="Arial" w:hAnsi="Arial"/>
                <w:sz w:val="17"/>
                <w:szCs w:val="17"/>
              </w:rPr>
              <w:t xml:space="preserve">Sistema scintillatore+CCD sviluppato internamente a INFN-LNS validato contro film EBT3 per QA 2D del profilo trasversale in prototerapia. Promettente per uso clinico routinario.</w:t>
            </w:r>
          </w:p>
        </w:tc>
      </w:tr>
      <w:tr>
        <w:tc>
          <w:tcPr>
            <w:tcW w:type="dxa" w:w="520"/>
            <w:tcBorders>
              <w:top w:val="single" w:color="CCCCCC" w:sz="1"/>
              <w:left w:val="single" w:color="CCCCCC" w:sz="1"/>
              <w:bottom w:val="single" w:color="CCCCCC" w:sz="1"/>
              <w:right w:val="single" w:color="CCCCCC" w:sz="1"/>
            </w:tcBorders>
            <w:shd w:fill="FDFEFE" w:val="clear"/>
            <w:tcMar>
              <w:top w:type="dxa" w:w="80"/>
              <w:left w:type="dxa" w:w="80"/>
              <w:bottom w:type="dxa" w:w="80"/>
              <w:right w:type="dxa" w:w="60"/>
            </w:tcMar>
          </w:tcPr>
          <w:p>
            <w:pPr>
              <w:jc w:val="center"/>
            </w:pPr>
            <w:r>
              <w:rPr>
                <w:rFonts w:ascii="Arial" w:cs="Arial" w:eastAsia="Arial" w:hAnsi="Arial"/>
                <w:b/>
                <w:bCs/>
                <w:sz w:val="18"/>
                <w:szCs w:val="18"/>
              </w:rPr>
              <w:t xml:space="preserve">2</w:t>
            </w:r>
          </w:p>
        </w:tc>
        <w:tc>
          <w:tcPr>
            <w:tcW w:type="dxa" w:w="1480"/>
            <w:tcBorders>
              <w:top w:val="single" w:color="CCCCCC" w:sz="1"/>
              <w:left w:val="single" w:color="CCCCCC" w:sz="1"/>
              <w:bottom w:val="single" w:color="CCCCCC" w:sz="1"/>
              <w:right w:val="single" w:color="CCCCCC" w:sz="1"/>
            </w:tcBorders>
            <w:shd w:fill="FDFEFE" w:val="clear"/>
            <w:tcMar>
              <w:top w:type="dxa" w:w="80"/>
              <w:left w:type="dxa" w:w="80"/>
              <w:bottom w:type="dxa" w:w="80"/>
              <w:right w:type="dxa" w:w="60"/>
            </w:tcMar>
          </w:tcPr>
          <w:p>
            <w:r>
              <w:rPr>
                <w:rFonts w:ascii="Arial" w:cs="Arial" w:eastAsia="Arial" w:hAnsi="Arial"/>
                <w:sz w:val="17"/>
                <w:szCs w:val="17"/>
              </w:rPr>
              <w:t xml:space="preserve">Cirrone
2021</w:t>
            </w:r>
          </w:p>
        </w:tc>
        <w:tc>
          <w:tcPr>
            <w:tcW w:type="dxa" w:w="1680"/>
            <w:tcBorders>
              <w:top w:val="single" w:color="CCCCCC" w:sz="1"/>
              <w:left w:val="single" w:color="CCCCCC" w:sz="1"/>
              <w:bottom w:val="single" w:color="CCCCCC" w:sz="1"/>
              <w:right w:val="single" w:color="CCCCCC" w:sz="1"/>
            </w:tcBorders>
            <w:shd w:fill="FDFEFE" w:val="clear"/>
            <w:tcMar>
              <w:top w:type="dxa" w:w="80"/>
              <w:left w:type="dxa" w:w="80"/>
              <w:bottom w:type="dxa" w:w="80"/>
              <w:right w:type="dxa" w:w="60"/>
            </w:tcMar>
          </w:tcPr>
          <w:p>
            <w:r>
              <w:rPr>
                <w:rFonts w:ascii="Arial" w:cs="Arial" w:eastAsia="Arial" w:hAnsi="Arial"/>
                <w:sz w:val="17"/>
                <w:szCs w:val="17"/>
              </w:rPr>
              <w:t xml:space="preserve">Protoni
62 MeV</w:t>
            </w:r>
          </w:p>
        </w:tc>
        <w:tc>
          <w:tcPr>
            <w:tcW w:type="dxa" w:w="1280"/>
            <w:tcBorders>
              <w:top w:val="single" w:color="CCCCCC" w:sz="1"/>
              <w:left w:val="single" w:color="CCCCCC" w:sz="1"/>
              <w:bottom w:val="single" w:color="CCCCCC" w:sz="1"/>
              <w:right w:val="single" w:color="CCCCCC" w:sz="1"/>
            </w:tcBorders>
            <w:shd w:fill="FDFEFE" w:val="clear"/>
            <w:tcMar>
              <w:top w:type="dxa" w:w="80"/>
              <w:left w:type="dxa" w:w="80"/>
              <w:bottom w:type="dxa" w:w="80"/>
              <w:right w:type="dxa" w:w="60"/>
            </w:tcMar>
          </w:tcPr>
          <w:p>
            <w:r>
              <w:rPr>
                <w:rFonts w:ascii="Arial" w:cs="Arial" w:eastAsia="Arial" w:hAnsi="Arial"/>
                <w:sz w:val="17"/>
                <w:szCs w:val="17"/>
              </w:rPr>
              <w:t xml:space="preserve">Applied
Sciences</w:t>
            </w:r>
          </w:p>
        </w:tc>
        <w:tc>
          <w:tcPr>
            <w:tcW w:type="dxa" w:w="4400"/>
            <w:tcBorders>
              <w:top w:val="single" w:color="CCCCCC" w:sz="1"/>
              <w:left w:val="single" w:color="CCCCCC" w:sz="1"/>
              <w:bottom w:val="single" w:color="CCCCCC" w:sz="1"/>
              <w:right w:val="single" w:color="CCCCCC" w:sz="1"/>
            </w:tcBorders>
            <w:shd w:fill="FDFEFE" w:val="clear"/>
            <w:tcMar>
              <w:top w:type="dxa" w:w="80"/>
              <w:left w:type="dxa" w:w="80"/>
              <w:bottom w:type="dxa" w:w="80"/>
              <w:right w:type="dxa" w:w="60"/>
            </w:tcMar>
          </w:tcPr>
          <w:p>
            <w:pPr>
              <w:jc w:val="both"/>
            </w:pPr>
            <w:r>
              <w:rPr>
                <w:rFonts w:ascii="Arial" w:cs="Arial" w:eastAsia="Arial" w:hAnsi="Arial"/>
                <w:sz w:val="17"/>
                <w:szCs w:val="17"/>
              </w:rPr>
              <w:t xml:space="preserve">Sistema non invasivo di monitoraggio in vivo basato su charge imbalance. Brevetto IT e internazionale. Candidato strumento economico per IVD in centri con risorse limitate.</w:t>
            </w:r>
          </w:p>
        </w:tc>
      </w:tr>
      <w:tr>
        <w:tc>
          <w:tcPr>
            <w:tcW w:type="dxa" w:w="520"/>
            <w:tcBorders>
              <w:top w:val="single" w:color="CCCCCC" w:sz="1"/>
              <w:left w:val="single" w:color="CCCCCC" w:sz="1"/>
              <w:bottom w:val="single" w:color="CCCCCC" w:sz="1"/>
              <w:right w:val="single" w:color="CCCCCC" w:sz="1"/>
            </w:tcBorders>
            <w:shd w:fill="EBF5FB" w:val="clear"/>
            <w:tcMar>
              <w:top w:type="dxa" w:w="80"/>
              <w:left w:type="dxa" w:w="80"/>
              <w:bottom w:type="dxa" w:w="80"/>
              <w:right w:type="dxa" w:w="60"/>
            </w:tcMar>
          </w:tcPr>
          <w:p>
            <w:pPr>
              <w:jc w:val="center"/>
            </w:pPr>
            <w:r>
              <w:rPr>
                <w:rFonts w:ascii="Arial" w:cs="Arial" w:eastAsia="Arial" w:hAnsi="Arial"/>
                <w:b/>
                <w:bCs/>
                <w:sz w:val="18"/>
                <w:szCs w:val="18"/>
              </w:rPr>
              <w:t xml:space="preserve">3</w:t>
            </w:r>
          </w:p>
        </w:tc>
        <w:tc>
          <w:tcPr>
            <w:tcW w:type="dxa" w:w="1480"/>
            <w:tcBorders>
              <w:top w:val="single" w:color="CCCCCC" w:sz="1"/>
              <w:left w:val="single" w:color="CCCCCC" w:sz="1"/>
              <w:bottom w:val="single" w:color="CCCCCC" w:sz="1"/>
              <w:right w:val="single" w:color="CCCCCC" w:sz="1"/>
            </w:tcBorders>
            <w:shd w:fill="EBF5FB" w:val="clear"/>
            <w:tcMar>
              <w:top w:type="dxa" w:w="80"/>
              <w:left w:type="dxa" w:w="80"/>
              <w:bottom w:type="dxa" w:w="80"/>
              <w:right w:type="dxa" w:w="60"/>
            </w:tcMar>
          </w:tcPr>
          <w:p>
            <w:r>
              <w:rPr>
                <w:rFonts w:ascii="Arial" w:cs="Arial" w:eastAsia="Arial" w:hAnsi="Arial"/>
                <w:sz w:val="17"/>
                <w:szCs w:val="17"/>
              </w:rPr>
              <w:t xml:space="preserve">Petringa
2025</w:t>
            </w:r>
          </w:p>
        </w:tc>
        <w:tc>
          <w:tcPr>
            <w:tcW w:type="dxa" w:w="1680"/>
            <w:tcBorders>
              <w:top w:val="single" w:color="CCCCCC" w:sz="1"/>
              <w:left w:val="single" w:color="CCCCCC" w:sz="1"/>
              <w:bottom w:val="single" w:color="CCCCCC" w:sz="1"/>
              <w:right w:val="single" w:color="CCCCCC" w:sz="1"/>
            </w:tcBorders>
            <w:shd w:fill="EBF5FB" w:val="clear"/>
            <w:tcMar>
              <w:top w:type="dxa" w:w="80"/>
              <w:left w:type="dxa" w:w="80"/>
              <w:bottom w:type="dxa" w:w="80"/>
              <w:right w:type="dxa" w:w="60"/>
            </w:tcMar>
          </w:tcPr>
          <w:p>
            <w:r>
              <w:rPr>
                <w:rFonts w:ascii="Arial" w:cs="Arial" w:eastAsia="Arial" w:hAnsi="Arial"/>
                <w:sz w:val="17"/>
                <w:szCs w:val="17"/>
              </w:rPr>
              <w:t xml:space="preserve">Raggi X
320 kVp</w:t>
            </w:r>
          </w:p>
        </w:tc>
        <w:tc>
          <w:tcPr>
            <w:tcW w:type="dxa" w:w="1280"/>
            <w:tcBorders>
              <w:top w:val="single" w:color="CCCCCC" w:sz="1"/>
              <w:left w:val="single" w:color="CCCCCC" w:sz="1"/>
              <w:bottom w:val="single" w:color="CCCCCC" w:sz="1"/>
              <w:right w:val="single" w:color="CCCCCC" w:sz="1"/>
            </w:tcBorders>
            <w:shd w:fill="EBF5FB" w:val="clear"/>
            <w:tcMar>
              <w:top w:type="dxa" w:w="80"/>
              <w:left w:type="dxa" w:w="80"/>
              <w:bottom w:type="dxa" w:w="80"/>
              <w:right w:type="dxa" w:w="60"/>
            </w:tcMar>
          </w:tcPr>
          <w:p>
            <w:r>
              <w:rPr>
                <w:rFonts w:ascii="Arial" w:cs="Arial" w:eastAsia="Arial" w:hAnsi="Arial"/>
                <w:sz w:val="17"/>
                <w:szCs w:val="17"/>
              </w:rPr>
              <w:t xml:space="preserve">JINST</w:t>
            </w:r>
          </w:p>
        </w:tc>
        <w:tc>
          <w:tcPr>
            <w:tcW w:type="dxa" w:w="4400"/>
            <w:tcBorders>
              <w:top w:val="single" w:color="CCCCCC" w:sz="1"/>
              <w:left w:val="single" w:color="CCCCCC" w:sz="1"/>
              <w:bottom w:val="single" w:color="CCCCCC" w:sz="1"/>
              <w:right w:val="single" w:color="CCCCCC" w:sz="1"/>
            </w:tcBorders>
            <w:shd w:fill="EBF5FB" w:val="clear"/>
            <w:tcMar>
              <w:top w:type="dxa" w:w="80"/>
              <w:left w:type="dxa" w:w="80"/>
              <w:bottom w:type="dxa" w:w="80"/>
              <w:right w:type="dxa" w:w="60"/>
            </w:tcMar>
          </w:tcPr>
          <w:p>
            <w:pPr>
              <w:jc w:val="both"/>
            </w:pPr>
            <w:r>
              <w:rPr>
                <w:rFonts w:ascii="Arial" w:cs="Arial" w:eastAsia="Arial" w:hAnsi="Arial"/>
                <w:sz w:val="17"/>
                <w:szCs w:val="17"/>
              </w:rPr>
              <w:t xml:space="preserve">Prima caratterizzazione dosimetrica del SiC p-n a 320 kV: linearità eccellente, indipendenza dal dose rate, riproducibilità elevata. Adatto a dosimetria preclinica con fotoni a media energia.</w:t>
            </w:r>
          </w:p>
        </w:tc>
      </w:tr>
      <w:tr>
        <w:tc>
          <w:tcPr>
            <w:tcW w:type="dxa" w:w="520"/>
            <w:tcBorders>
              <w:top w:val="single" w:color="CCCCCC" w:sz="1"/>
              <w:left w:val="single" w:color="CCCCCC" w:sz="1"/>
              <w:bottom w:val="single" w:color="CCCCCC" w:sz="1"/>
              <w:right w:val="single" w:color="CCCCCC" w:sz="1"/>
            </w:tcBorders>
            <w:shd w:fill="FDFEFE" w:val="clear"/>
            <w:tcMar>
              <w:top w:type="dxa" w:w="80"/>
              <w:left w:type="dxa" w:w="80"/>
              <w:bottom w:type="dxa" w:w="80"/>
              <w:right w:type="dxa" w:w="60"/>
            </w:tcMar>
          </w:tcPr>
          <w:p>
            <w:pPr>
              <w:jc w:val="center"/>
            </w:pPr>
            <w:r>
              <w:rPr>
                <w:rFonts w:ascii="Arial" w:cs="Arial" w:eastAsia="Arial" w:hAnsi="Arial"/>
                <w:b/>
                <w:bCs/>
                <w:sz w:val="18"/>
                <w:szCs w:val="18"/>
              </w:rPr>
              <w:t xml:space="preserve">4</w:t>
            </w:r>
          </w:p>
        </w:tc>
        <w:tc>
          <w:tcPr>
            <w:tcW w:type="dxa" w:w="1480"/>
            <w:tcBorders>
              <w:top w:val="single" w:color="CCCCCC" w:sz="1"/>
              <w:left w:val="single" w:color="CCCCCC" w:sz="1"/>
              <w:bottom w:val="single" w:color="CCCCCC" w:sz="1"/>
              <w:right w:val="single" w:color="CCCCCC" w:sz="1"/>
            </w:tcBorders>
            <w:shd w:fill="FDFEFE" w:val="clear"/>
            <w:tcMar>
              <w:top w:type="dxa" w:w="80"/>
              <w:left w:type="dxa" w:w="80"/>
              <w:bottom w:type="dxa" w:w="80"/>
              <w:right w:type="dxa" w:w="60"/>
            </w:tcMar>
          </w:tcPr>
          <w:p>
            <w:r>
              <w:rPr>
                <w:rFonts w:ascii="Arial" w:cs="Arial" w:eastAsia="Arial" w:hAnsi="Arial"/>
                <w:sz w:val="17"/>
                <w:szCs w:val="17"/>
              </w:rPr>
              <w:t xml:space="preserve">Petringa
2025</w:t>
            </w:r>
          </w:p>
        </w:tc>
        <w:tc>
          <w:tcPr>
            <w:tcW w:type="dxa" w:w="1680"/>
            <w:tcBorders>
              <w:top w:val="single" w:color="CCCCCC" w:sz="1"/>
              <w:left w:val="single" w:color="CCCCCC" w:sz="1"/>
              <w:bottom w:val="single" w:color="CCCCCC" w:sz="1"/>
              <w:right w:val="single" w:color="CCCCCC" w:sz="1"/>
            </w:tcBorders>
            <w:shd w:fill="FDFEFE" w:val="clear"/>
            <w:tcMar>
              <w:top w:type="dxa" w:w="80"/>
              <w:left w:type="dxa" w:w="80"/>
              <w:bottom w:type="dxa" w:w="80"/>
              <w:right w:type="dxa" w:w="60"/>
            </w:tcMar>
          </w:tcPr>
          <w:p>
            <w:r>
              <w:rPr>
                <w:rFonts w:ascii="Arial" w:cs="Arial" w:eastAsia="Arial" w:hAnsi="Arial"/>
                <w:sz w:val="17"/>
                <w:szCs w:val="17"/>
              </w:rPr>
              <w:t xml:space="preserve">Protoni
62 MeV
(UHDR)</w:t>
            </w:r>
          </w:p>
        </w:tc>
        <w:tc>
          <w:tcPr>
            <w:tcW w:type="dxa" w:w="1280"/>
            <w:tcBorders>
              <w:top w:val="single" w:color="CCCCCC" w:sz="1"/>
              <w:left w:val="single" w:color="CCCCCC" w:sz="1"/>
              <w:bottom w:val="single" w:color="CCCCCC" w:sz="1"/>
              <w:right w:val="single" w:color="CCCCCC" w:sz="1"/>
            </w:tcBorders>
            <w:shd w:fill="FDFEFE" w:val="clear"/>
            <w:tcMar>
              <w:top w:type="dxa" w:w="80"/>
              <w:left w:type="dxa" w:w="80"/>
              <w:bottom w:type="dxa" w:w="80"/>
              <w:right w:type="dxa" w:w="60"/>
            </w:tcMar>
          </w:tcPr>
          <w:p>
            <w:r>
              <w:rPr>
                <w:rFonts w:ascii="Arial" w:cs="Arial" w:eastAsia="Arial" w:hAnsi="Arial"/>
                <w:sz w:val="17"/>
                <w:szCs w:val="17"/>
              </w:rPr>
              <w:t xml:space="preserve">Physica
Medica</w:t>
            </w:r>
          </w:p>
        </w:tc>
        <w:tc>
          <w:tcPr>
            <w:tcW w:type="dxa" w:w="4400"/>
            <w:tcBorders>
              <w:top w:val="single" w:color="CCCCCC" w:sz="1"/>
              <w:left w:val="single" w:color="CCCCCC" w:sz="1"/>
              <w:bottom w:val="single" w:color="CCCCCC" w:sz="1"/>
              <w:right w:val="single" w:color="CCCCCC" w:sz="1"/>
            </w:tcBorders>
            <w:shd w:fill="FDFEFE" w:val="clear"/>
            <w:tcMar>
              <w:top w:type="dxa" w:w="80"/>
              <w:left w:type="dxa" w:w="80"/>
              <w:bottom w:type="dxa" w:w="80"/>
              <w:right w:type="dxa" w:w="60"/>
            </w:tcMar>
          </w:tcPr>
          <w:p>
            <w:pPr>
              <w:jc w:val="both"/>
            </w:pPr>
            <w:r>
              <w:rPr>
                <w:rFonts w:ascii="Arial" w:cs="Arial" w:eastAsia="Arial" w:hAnsi="Arial"/>
                <w:sz w:val="17"/>
                <w:szCs w:val="17"/>
              </w:rPr>
              <w:t xml:space="preserve">Sistema integrato SEM+DGIC+FC per FLASH-RT da 20 a 230 Gy/s. FC: incertezza &lt;2%; SEM: accordo &lt;1.4%. Prima soluzione robusta e validata per pFLASH-RT a livello internazionale.</w:t>
            </w:r>
          </w:p>
        </w:tc>
      </w:tr>
      <w:tr>
        <w:tc>
          <w:tcPr>
            <w:tcW w:type="dxa" w:w="520"/>
            <w:tcBorders>
              <w:top w:val="single" w:color="CCCCCC" w:sz="1"/>
              <w:left w:val="single" w:color="CCCCCC" w:sz="1"/>
              <w:bottom w:val="single" w:color="CCCCCC" w:sz="1"/>
              <w:right w:val="single" w:color="CCCCCC" w:sz="1"/>
            </w:tcBorders>
            <w:shd w:fill="EBF5FB" w:val="clear"/>
            <w:tcMar>
              <w:top w:type="dxa" w:w="80"/>
              <w:left w:type="dxa" w:w="80"/>
              <w:bottom w:type="dxa" w:w="80"/>
              <w:right w:type="dxa" w:w="60"/>
            </w:tcMar>
          </w:tcPr>
          <w:p>
            <w:pPr>
              <w:jc w:val="center"/>
            </w:pPr>
            <w:r>
              <w:rPr>
                <w:rFonts w:ascii="Arial" w:cs="Arial" w:eastAsia="Arial" w:hAnsi="Arial"/>
                <w:b/>
                <w:bCs/>
                <w:sz w:val="18"/>
                <w:szCs w:val="18"/>
              </w:rPr>
              <w:t xml:space="preserve">5</w:t>
            </w:r>
          </w:p>
        </w:tc>
        <w:tc>
          <w:tcPr>
            <w:tcW w:type="dxa" w:w="1480"/>
            <w:tcBorders>
              <w:top w:val="single" w:color="CCCCCC" w:sz="1"/>
              <w:left w:val="single" w:color="CCCCCC" w:sz="1"/>
              <w:bottom w:val="single" w:color="CCCCCC" w:sz="1"/>
              <w:right w:val="single" w:color="CCCCCC" w:sz="1"/>
            </w:tcBorders>
            <w:shd w:fill="EBF5FB" w:val="clear"/>
            <w:tcMar>
              <w:top w:type="dxa" w:w="80"/>
              <w:left w:type="dxa" w:w="80"/>
              <w:bottom w:type="dxa" w:w="80"/>
              <w:right w:type="dxa" w:w="60"/>
            </w:tcMar>
          </w:tcPr>
          <w:p>
            <w:r>
              <w:rPr>
                <w:rFonts w:ascii="Arial" w:cs="Arial" w:eastAsia="Arial" w:hAnsi="Arial"/>
                <w:sz w:val="17"/>
                <w:szCs w:val="17"/>
              </w:rPr>
              <w:t xml:space="preserve">Petringa
2026</w:t>
            </w:r>
          </w:p>
        </w:tc>
        <w:tc>
          <w:tcPr>
            <w:tcW w:type="dxa" w:w="1680"/>
            <w:tcBorders>
              <w:top w:val="single" w:color="CCCCCC" w:sz="1"/>
              <w:left w:val="single" w:color="CCCCCC" w:sz="1"/>
              <w:bottom w:val="single" w:color="CCCCCC" w:sz="1"/>
              <w:right w:val="single" w:color="CCCCCC" w:sz="1"/>
            </w:tcBorders>
            <w:shd w:fill="EBF5FB" w:val="clear"/>
            <w:tcMar>
              <w:top w:type="dxa" w:w="80"/>
              <w:left w:type="dxa" w:w="80"/>
              <w:bottom w:type="dxa" w:w="80"/>
              <w:right w:type="dxa" w:w="60"/>
            </w:tcMar>
          </w:tcPr>
          <w:p>
            <w:r>
              <w:rPr>
                <w:rFonts w:ascii="Arial" w:cs="Arial" w:eastAsia="Arial" w:hAnsi="Arial"/>
                <w:sz w:val="17"/>
                <w:szCs w:val="17"/>
              </w:rPr>
              <w:t xml:space="preserve">Fotoni
6/10/15 MV</w:t>
            </w:r>
          </w:p>
        </w:tc>
        <w:tc>
          <w:tcPr>
            <w:tcW w:type="dxa" w:w="1280"/>
            <w:tcBorders>
              <w:top w:val="single" w:color="CCCCCC" w:sz="1"/>
              <w:left w:val="single" w:color="CCCCCC" w:sz="1"/>
              <w:bottom w:val="single" w:color="CCCCCC" w:sz="1"/>
              <w:right w:val="single" w:color="CCCCCC" w:sz="1"/>
            </w:tcBorders>
            <w:shd w:fill="EBF5FB" w:val="clear"/>
            <w:tcMar>
              <w:top w:type="dxa" w:w="80"/>
              <w:left w:type="dxa" w:w="80"/>
              <w:bottom w:type="dxa" w:w="80"/>
              <w:right w:type="dxa" w:w="60"/>
            </w:tcMar>
          </w:tcPr>
          <w:p>
            <w:r>
              <w:rPr>
                <w:rFonts w:ascii="Arial" w:cs="Arial" w:eastAsia="Arial" w:hAnsi="Arial"/>
                <w:sz w:val="17"/>
                <w:szCs w:val="17"/>
              </w:rPr>
              <w:t xml:space="preserve">Medical
Physics</w:t>
            </w:r>
          </w:p>
        </w:tc>
        <w:tc>
          <w:tcPr>
            <w:tcW w:type="dxa" w:w="4400"/>
            <w:tcBorders>
              <w:top w:val="single" w:color="CCCCCC" w:sz="1"/>
              <w:left w:val="single" w:color="CCCCCC" w:sz="1"/>
              <w:bottom w:val="single" w:color="CCCCCC" w:sz="1"/>
              <w:right w:val="single" w:color="CCCCCC" w:sz="1"/>
            </w:tcBorders>
            <w:shd w:fill="EBF5FB" w:val="clear"/>
            <w:tcMar>
              <w:top w:type="dxa" w:w="80"/>
              <w:left w:type="dxa" w:w="80"/>
              <w:bottom w:type="dxa" w:w="80"/>
              <w:right w:type="dxa" w:w="60"/>
            </w:tcMar>
          </w:tcPr>
          <w:p>
            <w:pPr>
              <w:jc w:val="both"/>
            </w:pPr>
            <w:r>
              <w:rPr>
                <w:rFonts w:ascii="Arial" w:cs="Arial" w:eastAsia="Arial" w:hAnsi="Arial"/>
                <w:sz w:val="17"/>
                <w:szCs w:val="17"/>
              </w:rPr>
              <w:t xml:space="preserve">SiC p-n su linac clinici: sensibilità 92.5 nC/Gy @6MV, linearità &lt;1%, PDD entro 1mm. Primo studio completo di SiC su fasci MV clinici. Asimmetria azimutale segnala necessità di ottimizzazione geometria contatti.</w:t>
            </w:r>
          </w:p>
        </w:tc>
      </w:tr>
      <w:tr>
        <w:tc>
          <w:tcPr>
            <w:tcW w:type="dxa" w:w="520"/>
            <w:tcBorders>
              <w:top w:val="single" w:color="CCCCCC" w:sz="1"/>
              <w:left w:val="single" w:color="CCCCCC" w:sz="1"/>
              <w:bottom w:val="single" w:color="CCCCCC" w:sz="1"/>
              <w:right w:val="single" w:color="CCCCCC" w:sz="1"/>
            </w:tcBorders>
            <w:shd w:fill="FDFEFE" w:val="clear"/>
            <w:tcMar>
              <w:top w:type="dxa" w:w="80"/>
              <w:left w:type="dxa" w:w="80"/>
              <w:bottom w:type="dxa" w:w="80"/>
              <w:right w:type="dxa" w:w="60"/>
            </w:tcMar>
          </w:tcPr>
          <w:p>
            <w:pPr>
              <w:jc w:val="center"/>
            </w:pPr>
            <w:r>
              <w:rPr>
                <w:rFonts w:ascii="Arial" w:cs="Arial" w:eastAsia="Arial" w:hAnsi="Arial"/>
                <w:b/>
                <w:bCs/>
                <w:sz w:val="18"/>
                <w:szCs w:val="18"/>
              </w:rPr>
              <w:t xml:space="preserve">6</w:t>
            </w:r>
          </w:p>
        </w:tc>
        <w:tc>
          <w:tcPr>
            <w:tcW w:type="dxa" w:w="1480"/>
            <w:tcBorders>
              <w:top w:val="single" w:color="CCCCCC" w:sz="1"/>
              <w:left w:val="single" w:color="CCCCCC" w:sz="1"/>
              <w:bottom w:val="single" w:color="CCCCCC" w:sz="1"/>
              <w:right w:val="single" w:color="CCCCCC" w:sz="1"/>
            </w:tcBorders>
            <w:shd w:fill="FDFEFE" w:val="clear"/>
            <w:tcMar>
              <w:top w:type="dxa" w:w="80"/>
              <w:left w:type="dxa" w:w="80"/>
              <w:bottom w:type="dxa" w:w="80"/>
              <w:right w:type="dxa" w:w="60"/>
            </w:tcMar>
          </w:tcPr>
          <w:p>
            <w:r>
              <w:rPr>
                <w:rFonts w:ascii="Arial" w:cs="Arial" w:eastAsia="Arial" w:hAnsi="Arial"/>
                <w:sz w:val="17"/>
                <w:szCs w:val="17"/>
              </w:rPr>
              <w:t xml:space="preserve">Petringa
2025</w:t>
            </w:r>
          </w:p>
        </w:tc>
        <w:tc>
          <w:tcPr>
            <w:tcW w:type="dxa" w:w="1680"/>
            <w:tcBorders>
              <w:top w:val="single" w:color="CCCCCC" w:sz="1"/>
              <w:left w:val="single" w:color="CCCCCC" w:sz="1"/>
              <w:bottom w:val="single" w:color="CCCCCC" w:sz="1"/>
              <w:right w:val="single" w:color="CCCCCC" w:sz="1"/>
            </w:tcBorders>
            <w:shd w:fill="FDFEFE" w:val="clear"/>
            <w:tcMar>
              <w:top w:type="dxa" w:w="80"/>
              <w:left w:type="dxa" w:w="80"/>
              <w:bottom w:type="dxa" w:w="80"/>
              <w:right w:type="dxa" w:w="60"/>
            </w:tcMar>
          </w:tcPr>
          <w:p>
            <w:r>
              <w:rPr>
                <w:rFonts w:ascii="Arial" w:cs="Arial" w:eastAsia="Arial" w:hAnsi="Arial"/>
                <w:sz w:val="17"/>
                <w:szCs w:val="17"/>
              </w:rPr>
              <w:t xml:space="preserve">Protoni
30–150 MeV</w:t>
            </w:r>
          </w:p>
        </w:tc>
        <w:tc>
          <w:tcPr>
            <w:tcW w:type="dxa" w:w="1280"/>
            <w:tcBorders>
              <w:top w:val="single" w:color="CCCCCC" w:sz="1"/>
              <w:left w:val="single" w:color="CCCCCC" w:sz="1"/>
              <w:bottom w:val="single" w:color="CCCCCC" w:sz="1"/>
              <w:right w:val="single" w:color="CCCCCC" w:sz="1"/>
            </w:tcBorders>
            <w:shd w:fill="FDFEFE" w:val="clear"/>
            <w:tcMar>
              <w:top w:type="dxa" w:w="80"/>
              <w:left w:type="dxa" w:w="80"/>
              <w:bottom w:type="dxa" w:w="80"/>
              <w:right w:type="dxa" w:w="60"/>
            </w:tcMar>
          </w:tcPr>
          <w:p>
            <w:r>
              <w:rPr>
                <w:rFonts w:ascii="Arial" w:cs="Arial" w:eastAsia="Arial" w:hAnsi="Arial"/>
                <w:sz w:val="17"/>
                <w:szCs w:val="17"/>
              </w:rPr>
              <w:t xml:space="preserve">Physica
Medica</w:t>
            </w:r>
          </w:p>
        </w:tc>
        <w:tc>
          <w:tcPr>
            <w:tcW w:type="dxa" w:w="4400"/>
            <w:tcBorders>
              <w:top w:val="single" w:color="CCCCCC" w:sz="1"/>
              <w:left w:val="single" w:color="CCCCCC" w:sz="1"/>
              <w:bottom w:val="single" w:color="CCCCCC" w:sz="1"/>
              <w:right w:val="single" w:color="CCCCCC" w:sz="1"/>
            </w:tcBorders>
            <w:shd w:fill="FDFEFE" w:val="clear"/>
            <w:tcMar>
              <w:top w:type="dxa" w:w="80"/>
              <w:left w:type="dxa" w:w="80"/>
              <w:bottom w:type="dxa" w:w="80"/>
              <w:right w:type="dxa" w:w="60"/>
            </w:tcMar>
          </w:tcPr>
          <w:p>
            <w:pPr>
              <w:jc w:val="both"/>
            </w:pPr>
            <w:r>
              <w:rPr>
                <w:rFonts w:ascii="Arial" w:cs="Arial" w:eastAsia="Arial" w:hAnsi="Arial"/>
                <w:sz w:val="17"/>
                <w:szCs w:val="17"/>
              </w:rPr>
              <w:t xml:space="preserve">Primo microdosimetro SiC su fasci protonici terapeutici: spettri in accordo con MicroPlus e diamante; RBE (MKM) concorde con dati biologici su cellule U87. Apre la via al biologically-optimized TP.</w:t>
            </w:r>
          </w:p>
        </w:tc>
      </w:tr>
    </w:tbl>
    <w:p>
      <w:pPr>
        <w:spacing w:after="80" w:before="80"/>
      </w:pPr>
    </w:p>
    <w:p>
      <w:pPr>
        <w:pStyle w:val="Heading2"/>
        <w:spacing w:after="120" w:before="280"/>
      </w:pPr>
      <w:r>
        <w:rPr>
          <w:rFonts w:ascii="Arial" w:cs="Arial" w:eastAsia="Arial" w:hAnsi="Arial"/>
          <w:b/>
          <w:bCs/>
          <w:color w:val="2E74B5"/>
          <w:sz w:val="26"/>
          <w:szCs w:val="26"/>
        </w:rPr>
        <w:t xml:space="preserve">7.2 Conclusioni</w:t>
      </w:r>
    </w:p>
    <w:p>
      <w:pPr>
        <w:spacing w:after="60" w:before="60"/>
        <w:jc w:val="both"/>
      </w:pPr>
      <w:r>
        <w:rPr>
          <w:rFonts w:ascii="Arial" w:cs="Arial" w:eastAsia="Arial" w:hAnsi="Arial"/>
          <w:color w:val="000000"/>
          <w:sz w:val="22"/>
          <w:szCs w:val="22"/>
        </w:rPr>
        <w:t xml:space="preserve">Il corpus di sei pubblicazioni analizzato in questo report documenta un’attività scientifica di alto livello, con una coerenza tematica e una progressione logica evidenti. Tre conclusioni principali emergono dall’analisi complessiva.</w:t>
      </w:r>
    </w:p>
    <w:p>
      <w:pPr>
        <w:spacing w:after="60" w:before="60"/>
      </w:pPr>
    </w:p>
    <w:p>
      <w:pPr>
        <w:spacing w:after="80" w:before="200"/>
      </w:pPr>
      <w:r>
        <w:rPr>
          <w:rFonts w:ascii="Arial" w:cs="Arial" w:eastAsia="Arial" w:hAnsi="Arial"/>
          <w:b/>
          <w:bCs/>
          <w:color w:val="1F3864"/>
          <w:sz w:val="22"/>
          <w:szCs w:val="22"/>
        </w:rPr>
        <w:t xml:space="preserve">Il SiC come rivelatore universale per la fisica medica</w:t>
      </w:r>
    </w:p>
    <w:p>
      <w:pPr>
        <w:spacing w:after="60" w:before="60"/>
        <w:jc w:val="both"/>
      </w:pPr>
      <w:r>
        <w:rPr>
          <w:rFonts w:ascii="Arial" w:cs="Arial" w:eastAsia="Arial" w:hAnsi="Arial"/>
          <w:color w:val="000000"/>
          <w:sz w:val="22"/>
          <w:szCs w:val="22"/>
        </w:rPr>
        <w:t xml:space="preserve">Il percorso di validazione del rivelatore SiC p-n attraverso tre tipologie di fasci — raggi X a 320 kV, fotoni clinici a 6–15 MV, protoni terapeutici a 30–150 MeV — in contesti che vanno dalla dosimetria convenzionale alla microdosimetria, costituisce una delle caratterizzazioni più complete di questo materiale in ambito di fisica medica disponibili in letteratura. Il SiC non è più un materiale “prometttente in teoria”: i lavori dell’INFN-LNS ne dimostrano le prestazioni reali in condizioni di misura rigorose e standardizzate.</w:t>
      </w:r>
    </w:p>
    <w:p>
      <w:pPr>
        <w:spacing w:after="60" w:before="60"/>
      </w:pPr>
    </w:p>
    <w:p>
      <w:pPr>
        <w:spacing w:after="80" w:before="200"/>
      </w:pPr>
      <w:r>
        <w:rPr>
          <w:rFonts w:ascii="Arial" w:cs="Arial" w:eastAsia="Arial" w:hAnsi="Arial"/>
          <w:b/>
          <w:bCs/>
          <w:color w:val="1F3864"/>
          <w:sz w:val="22"/>
          <w:szCs w:val="22"/>
        </w:rPr>
        <w:t xml:space="preserve">FLASH-RT: l’INFN-LNS come attore internazionale di primo piano</w:t>
      </w:r>
    </w:p>
    <w:p>
      <w:pPr>
        <w:spacing w:after="60" w:before="60"/>
        <w:jc w:val="both"/>
      </w:pPr>
      <w:r>
        <w:rPr>
          <w:rFonts w:ascii="Arial" w:cs="Arial" w:eastAsia="Arial" w:hAnsi="Arial"/>
          <w:color w:val="000000"/>
          <w:sz w:val="22"/>
          <w:szCs w:val="22"/>
        </w:rPr>
        <w:t xml:space="preserve">Il sistema dosimetrico integrato per pFLASH-RT rappresenta uno dei risultati tecnici più rilevanti prodotti in Europa in questo campo. La disponibilità di un’infrastruttura (ciclotrone da 62 MeV a CATANA) abbinata a un sistema dosimetrico validato fino a 230 Gy/s con incertezze clinicamente accettabili posiziona Catania come uno dei pochi siti al mondo in grado di condurre esperimenti pFLASH-RT con standard dosimetrici adeguati per la ricerca traslazionale.</w:t>
      </w:r>
    </w:p>
    <w:p>
      <w:pPr>
        <w:spacing w:after="60" w:before="60"/>
      </w:pPr>
    </w:p>
    <w:p>
      <w:pPr>
        <w:spacing w:after="80" w:before="200"/>
      </w:pPr>
      <w:r>
        <w:rPr>
          <w:rFonts w:ascii="Arial" w:cs="Arial" w:eastAsia="Arial" w:hAnsi="Arial"/>
          <w:b/>
          <w:bCs/>
          <w:color w:val="1F3864"/>
          <w:sz w:val="22"/>
          <w:szCs w:val="22"/>
        </w:rPr>
        <w:t xml:space="preserve">Dalla fisica alla radiobiologia: il passo verso la personalizzazione</w:t>
      </w:r>
    </w:p>
    <w:p>
      <w:pPr>
        <w:spacing w:after="60" w:before="60"/>
        <w:jc w:val="both"/>
      </w:pPr>
      <w:r>
        <w:rPr>
          <w:rFonts w:ascii="Arial" w:cs="Arial" w:eastAsia="Arial" w:hAnsi="Arial"/>
          <w:color w:val="000000"/>
          <w:sz w:val="22"/>
          <w:szCs w:val="22"/>
        </w:rPr>
        <w:t xml:space="preserve">Il lavoro di microdosimetria con SiC, con la validazione dell’RBE tramite MKM su dati sperimentali cellulari, rappresenta il punto più avanzato del percorso scientifico del gruppo. Il salto concettuale da “misuriamo la dose” a “prediamo l’effetto biologico” è esattamente il salto necessario per realizzare la promessa della radioterapia con ioni: non solo una dose più precisa nello spazio, ma una dose biologicamente ottimizzata per ogni paziente.</w:t>
      </w:r>
    </w:p>
    <w:p>
      <w:pPr>
        <w:spacing w:after="120" w:before="120"/>
      </w:pPr>
    </w:p>
    <w:p>
      <w:pPr>
        <w:pBdr>
          <w:top w:val="single" w:color="2E74B5" w:sz="4" w:space="4"/>
        </w:pBdr>
        <w:spacing w:after="60" w:before="200"/>
      </w:pPr>
      <w:r>
        <w:rPr>
          <w:rFonts w:ascii="Arial" w:cs="Arial" w:eastAsia="Arial" w:hAnsi="Arial"/>
          <w:i/>
          <w:iCs/>
          <w:color w:val="777777"/>
          <w:sz w:val="18"/>
          <w:szCs w:val="18"/>
        </w:rPr>
        <w:t xml:space="preserve">Report generato il 20 marzo 2026 — Basato sull’analisi dei 6 documenti PDF del progetto. Gruppo di Fisica Medica, INFN-LNS, Catania.</w:t>
      </w:r>
    </w:p>
    <w:sectPr>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4F72"/>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2026-03-20T09:44:12.495Z</dcterms:created>
  <dcterms:modified xsi:type="dcterms:W3CDTF">2026-03-20T09:44:12.496Z</dcterms:modified>
</cp:coreProperties>
</file>

<file path=docProps/custom.xml><?xml version="1.0" encoding="utf-8"?>
<Properties xmlns="http://schemas.openxmlformats.org/officeDocument/2006/custom-properties" xmlns:vt="http://schemas.openxmlformats.org/officeDocument/2006/docPropsVTypes"/>
</file>