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FF9E00"/>
          <w:sz w:val="64"/>
          <w:szCs w:val="64"/>
        </w:rPr>
        <w:t xml:space="preserve">OPTIONS TERMINAL</w:t>
      </w:r>
    </w:p>
    <w:p>
      <w:pPr>
        <w:spacing w:after="200"/>
        <w:jc w:val="center"/>
      </w:pPr>
      <w:r>
        <w:rPr>
          <w:color w:val="888888"/>
          <w:sz w:val="28"/>
          <w:szCs w:val="28"/>
        </w:rPr>
        <w:t xml:space="preserve">Documentación técnica completa</w:t>
      </w:r>
    </w:p>
    <w:p>
      <w:pPr>
        <w:spacing w:after="200"/>
        <w:jc w:val="center"/>
      </w:pPr>
      <w:r>
        <w:rPr>
          <w:color w:val="1A1A1A"/>
          <w:sz w:val="24"/>
          <w:szCs w:val="24"/>
        </w:rPr>
        <w:t xml:space="preserve">Terminal de análisis de opciones financieras estilo Bloomberg</w:t>
      </w:r>
    </w:p>
    <w:p>
      <w:pPr>
        <w:spacing w:after="1440"/>
        <w:jc w:val="center"/>
      </w:pPr>
      <w:r>
        <w:rPr>
          <w:i/>
          <w:iCs/>
          <w:color w:val="888888"/>
          <w:sz w:val="22"/>
          <w:szCs w:val="22"/>
        </w:rPr>
        <w:t xml:space="preserve">Python · Streamlit · Plotly · yfinance · scipy · Black-Scholes</w:t>
      </w:r>
    </w:p>
    <w:p>
      <w:pPr>
        <w:jc w:val="center"/>
      </w:pPr>
      <w:r>
        <w:rPr>
          <w:color w:val="888888"/>
          <w:sz w:val="22"/>
          <w:szCs w:val="22"/>
        </w:rPr>
        <w:t xml:space="preserve">Julio 2026</w:t>
      </w:r>
    </w:p>
    <w:p>
      <w:r>
        <w:br w:type="page"/>
      </w:r>
    </w:p>
    <w:p>
      <w:pPr>
        <w:pStyle w:val="Heading1"/>
        <w:spacing w:after="200" w:before="400"/>
        <w:rPr>
          <w:b/>
          <w:bCs/>
          <w:color w:val="FF9E00"/>
          <w:sz w:val="32"/>
          <w:szCs w:val="32"/>
        </w:rPr>
      </w:pPr>
      <w:r>
        <w:t xml:space="preserve">1. ¿Qué es Options Terminal?</w:t>
      </w:r>
    </w:p>
    <w:p>
      <w:pPr>
        <w:spacing w:after="120" w:before="120"/>
      </w:pPr>
      <w:r>
        <w:rPr>
          <w:sz w:val="22"/>
          <w:szCs w:val="22"/>
        </w:rPr>
        <w:t xml:space="preserve">Options Terminal es una aplicación web interactiva que permite analizar la cadena de opciones de cualquier activo cotizado en Yahoo Finance, directamente desde el navegador. Está diseñada con un aspecto visual de terminal profesional (fondo negro, tipografía monoespaciada, escala de colores ámbar) inspirado en las terminales Bloomberg.</w:t>
      </w:r>
    </w:p>
    <w:p>
      <w:pPr>
        <w:spacing w:after="120" w:before="120"/>
      </w:pPr>
      <w:r>
        <w:rPr>
          <w:sz w:val="22"/>
          <w:szCs w:val="22"/>
        </w:rPr>
        <w:t xml:space="preserve">El objetivo es proporcionar en una sola pantalla toda la información relevante del mercado de opciones: la forma de la volatilidad implícita en el espacio tridimensional de strike y tiempo, la probabilidad implícita que el mercado asigna a cada nivel de precio, los niveles donde se concentra el dinero real (open interest) y un diagnóstico automático del sentimiento del mercado de opciones.</w:t>
      </w:r>
    </w:p>
    <w:p>
      <w:pPr>
        <w:pBdr>
          <w:bottom w:val="single" w:color="CCCCCC" w:sz="6"/>
        </w:pBdr>
        <w:spacing w:after="200" w:before="200"/>
      </w:pPr>
    </w:p>
    <w:p>
      <w:pPr>
        <w:pStyle w:val="Heading1"/>
        <w:spacing w:after="200" w:before="400"/>
        <w:rPr>
          <w:b/>
          <w:bCs/>
          <w:color w:val="FF9E00"/>
          <w:sz w:val="32"/>
          <w:szCs w:val="32"/>
        </w:rPr>
      </w:pPr>
      <w:r>
        <w:t xml:space="preserve">2. Arquitectura del proyecto</w:t>
      </w:r>
    </w:p>
    <w:p>
      <w:pPr>
        <w:spacing w:after="120" w:before="120"/>
      </w:pPr>
      <w:r>
        <w:rPr>
          <w:sz w:val="22"/>
          <w:szCs w:val="22"/>
        </w:rPr>
        <w:t xml:space="preserve">El proyecto se compone de dos módulos Python y un archivo de dependencias: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FF9E00" w:color="FF9E00" w:val="clear"/>
          </w:tcPr>
          <w:p>
            <w:r>
              <w:rPr>
                <w:b/>
                <w:bCs/>
                <w:color w:val="FFFFFF"/>
                <w:sz w:val="20"/>
                <w:szCs w:val="20"/>
              </w:rPr>
              <w:t xml:space="preserve">Archivo</w:t>
            </w:r>
          </w:p>
        </w:tc>
        <w:tc>
          <w:tcPr>
            <w:tcW w:type="dxa" w:w="6860"/>
            <w:shd w:fill="FF9E00" w:color="FF9E00" w:val="clear"/>
          </w:tcPr>
          <w:p>
            <w:r>
              <w:rPr>
                <w:b/>
                <w:bCs/>
                <w:color w:val="FFFFFF"/>
                <w:sz w:val="20"/>
                <w:szCs w:val="20"/>
              </w:rPr>
              <w:t xml:space="preserve">Responsabilidad</w:t>
            </w:r>
          </w:p>
        </w:tc>
      </w:tr>
      <w:tr>
        <w:tc>
          <w:tcPr>
            <w:tcW w:type="dxa" w:w="2500"/>
            <w:shd w:fill="FFFFFF" w:color="FFFFFF" w:val="clear"/>
          </w:tcPr>
          <w:p>
            <w:r>
              <w:rPr>
                <w:sz w:val="20"/>
                <w:szCs w:val="20"/>
              </w:rPr>
              <w:t xml:space="preserve">app.py</w:t>
            </w:r>
          </w:p>
        </w:tc>
        <w:tc>
          <w:tcPr>
            <w:tcW w:type="dxa" w:w="6860"/>
            <w:shd w:fill="FFFFFF" w:color="FFFFFF" w:val="clear"/>
          </w:tcPr>
          <w:p>
            <w:r>
              <w:rPr>
                <w:sz w:val="20"/>
                <w:szCs w:val="20"/>
              </w:rPr>
              <w:t xml:space="preserve">Interfaz de usuario completa: búsqueda de tickers, controles de visualización, gráfico 3D, curva de probabilidad, tabla straddle y presentación de métricas. Orquesta las llamadas a analisis.py y a la API de Yahoo Finance.</w:t>
            </w:r>
          </w:p>
        </w:tc>
      </w:tr>
      <w:tr>
        <w:tc>
          <w:tcPr>
            <w:tcW w:type="dxa" w:w="2500"/>
            <w:shd w:fill="FFFBF0" w:color="FFFBF0" w:val="clear"/>
          </w:tcPr>
          <w:p>
            <w:r>
              <w:rPr>
                <w:sz w:val="20"/>
                <w:szCs w:val="20"/>
              </w:rPr>
              <w:t xml:space="preserve">analisis.py</w:t>
            </w:r>
          </w:p>
        </w:tc>
        <w:tc>
          <w:tcPr>
            <w:tcW w:type="dxa" w:w="6860"/>
            <w:shd w:fill="FFFBF0" w:color="FFFBF0" w:val="clear"/>
          </w:tcPr>
          <w:p>
            <w:r>
              <w:rPr>
                <w:sz w:val="20"/>
                <w:szCs w:val="20"/>
              </w:rPr>
              <w:t xml:space="preserve">Motor analítico puro: limpieza de datos, cálculo de métricas de opciones, fórmulas de Black-Scholes, motor de condiciones alcista/bajista. Sin dependencia de Streamlit ni de la interfaz.</w:t>
            </w:r>
          </w:p>
        </w:tc>
      </w:tr>
      <w:tr>
        <w:tc>
          <w:tcPr>
            <w:tcW w:type="dxa" w:w="2500"/>
            <w:shd w:fill="FFFFFF" w:color="FFFFFF" w:val="clear"/>
          </w:tcPr>
          <w:p>
            <w:r>
              <w:rPr>
                <w:sz w:val="20"/>
                <w:szCs w:val="20"/>
              </w:rPr>
              <w:t xml:space="preserve">requirements.txt</w:t>
            </w:r>
          </w:p>
        </w:tc>
        <w:tc>
          <w:tcPr>
            <w:tcW w:type="dxa" w:w="6860"/>
            <w:shd w:fill="FFFFFF" w:color="FFFFFF" w:val="clear"/>
          </w:tcPr>
          <w:p>
            <w:r>
              <w:rPr>
                <w:sz w:val="20"/>
                <w:szCs w:val="20"/>
              </w:rPr>
              <w:t xml:space="preserve">Dependencias del entorno Python.</w:t>
            </w:r>
          </w:p>
        </w:tc>
      </w:tr>
    </w:tbl>
    <w:p>
      <w:pPr>
        <w:spacing w:after="100" w:before="300"/>
      </w:pPr>
    </w:p>
    <w:p>
      <w:pPr>
        <w:pStyle w:val="Heading2"/>
        <w:spacing w:after="160" w:before="300"/>
        <w:rPr>
          <w:b/>
          <w:bCs/>
          <w:color w:val="FF9E00"/>
          <w:sz w:val="26"/>
          <w:szCs w:val="26"/>
        </w:rPr>
      </w:pPr>
      <w:r>
        <w:t xml:space="preserve">Flujo de datos</w:t>
      </w:r>
    </w:p>
    <w:p>
      <w:pPr>
        <w:spacing w:after="120" w:before="120"/>
      </w:pPr>
      <w:r>
        <w:rPr>
          <w:sz w:val="22"/>
          <w:szCs w:val="22"/>
        </w:rPr>
        <w:t xml:space="preserve">El flujo de información desde la fuente hasta la pantalla sigue estas etapas:</w:t>
      </w:r>
    </w:p>
    <w:p>
      <w:pPr>
        <w:pStyle w:val="ListParagraph"/>
        <w:numPr>
          <w:ilvl w:val="0"/>
          <w:numId w:val="1"/>
        </w:numPr>
        <w:spacing w:after="80" w:before="80"/>
        <w:ind w:left="720" w:hanging="360"/>
      </w:pPr>
      <w:r>
        <w:rPr>
          <w:sz w:val="22"/>
          <w:szCs w:val="22"/>
        </w:rPr>
        <w:t xml:space="preserve">1. El usuario escribe un ticker en el buscador. La app consulta el endpoint de búsqueda de Yahoo Finance y devuelve coincidencias con autocompletado.</w:t>
      </w:r>
    </w:p>
    <w:p>
      <w:pPr>
        <w:pStyle w:val="ListParagraph"/>
        <w:numPr>
          <w:ilvl w:val="0"/>
          <w:numId w:val="1"/>
        </w:numPr>
        <w:spacing w:after="80" w:before="80"/>
        <w:ind w:left="720" w:hanging="360"/>
      </w:pPr>
      <w:r>
        <w:rPr>
          <w:sz w:val="22"/>
          <w:szCs w:val="22"/>
        </w:rPr>
        <w:t xml:space="preserve">2. Al seleccionar un ticker, yfinance descarga el historial de precio (3 meses) y la cadena de opciones completa para todos los vencimientos disponibles.</w:t>
      </w:r>
    </w:p>
    <w:p>
      <w:pPr>
        <w:pStyle w:val="ListParagraph"/>
        <w:numPr>
          <w:ilvl w:val="0"/>
          <w:numId w:val="1"/>
        </w:numPr>
        <w:spacing w:after="80" w:before="80"/>
        <w:ind w:left="720" w:hanging="360"/>
      </w:pPr>
      <w:r>
        <w:rPr>
          <w:sz w:val="22"/>
          <w:szCs w:val="22"/>
        </w:rPr>
        <w:t xml:space="preserve">3. analisis.py aplica el filtro de calidad de datos sobre cada cadena, descartando opciones sin liquidez real.</w:t>
      </w:r>
    </w:p>
    <w:p>
      <w:pPr>
        <w:pStyle w:val="ListParagraph"/>
        <w:numPr>
          <w:ilvl w:val="0"/>
          <w:numId w:val="1"/>
        </w:numPr>
        <w:spacing w:after="80" w:before="80"/>
        <w:ind w:left="720" w:hanging="360"/>
      </w:pPr>
      <w:r>
        <w:rPr>
          <w:sz w:val="22"/>
          <w:szCs w:val="22"/>
        </w:rPr>
        <w:t xml:space="preserve">4. Los datos limpios se usan para: construir el DataFrame de la superficie 3D, calcular las 6 métricas del motor, generar la curva de probabilidad implícita, y calcular max pain y strikes clave por OI.</w:t>
      </w:r>
    </w:p>
    <w:p>
      <w:pPr>
        <w:pStyle w:val="ListParagraph"/>
        <w:numPr>
          <w:ilvl w:val="0"/>
          <w:numId w:val="1"/>
        </w:numPr>
        <w:spacing w:after="80" w:before="80"/>
        <w:ind w:left="720" w:hanging="360"/>
      </w:pPr>
      <w:r>
        <w:rPr>
          <w:sz w:val="22"/>
          <w:szCs w:val="22"/>
        </w:rPr>
        <w:t xml:space="preserve">5. Plotly renderiza el gráfico 3D interactivo y el gráfico 2D de probabilidad. Streamlit presenta el resto de métricas y la tabla straddle.</w:t>
      </w:r>
    </w:p>
    <w:p>
      <w:pPr>
        <w:pBdr>
          <w:bottom w:val="single" w:color="CCCCCC" w:sz="6"/>
        </w:pBdr>
        <w:spacing w:after="200" w:before="200"/>
      </w:pPr>
    </w:p>
    <w:p>
      <w:pPr>
        <w:pStyle w:val="Heading1"/>
        <w:spacing w:after="200" w:before="400"/>
        <w:rPr>
          <w:b/>
          <w:bCs/>
          <w:color w:val="FF9E00"/>
          <w:sz w:val="32"/>
          <w:szCs w:val="32"/>
        </w:rPr>
      </w:pPr>
      <w:r>
        <w:t xml:space="preserve">3. Conceptos matemáticos y financieros</w:t>
      </w:r>
    </w:p>
    <w:p>
      <w:pPr>
        <w:pStyle w:val="Heading2"/>
        <w:spacing w:after="160" w:before="300"/>
        <w:rPr>
          <w:b/>
          <w:bCs/>
          <w:color w:val="FF9E00"/>
          <w:sz w:val="26"/>
          <w:szCs w:val="26"/>
        </w:rPr>
      </w:pPr>
      <w:r>
        <w:t xml:space="preserve">3.1 Volatilidad implícita (IV)</w:t>
      </w:r>
    </w:p>
    <w:p>
      <w:pPr>
        <w:spacing w:after="120" w:before="120"/>
      </w:pPr>
      <w:r>
        <w:rPr>
          <w:sz w:val="22"/>
          <w:szCs w:val="22"/>
        </w:rPr>
        <w:t xml:space="preserve">La volatilidad implícita es el valor de σ que, introducido en la fórmula de valoración de Black-Scholes, reproduce exactamente el precio de mercado observado de una opción. No es una magnitud observable directamente; se extrae por inversión numérica del modelo.</w:t>
      </w:r>
    </w:p>
    <w:p>
      <w:pPr>
        <w:spacing w:after="120" w:before="120"/>
      </w:pPr>
      <w:r>
        <w:rPr>
          <w:sz w:val="22"/>
          <w:szCs w:val="22"/>
        </w:rPr>
        <w:t xml:space="preserve">Intuitivamente: si el precio de mercado de una opción es alto, el mercado está descontando que el activo subyacente se va a mover mucho. La IV cuantifica esa expectativa de movimiento, expresada en términos de desviación típica anualizada.</w:t>
      </w:r>
    </w:p>
    <w:p>
      <w:pPr>
        <w:shd w:fill="F4F4F4" w:color="F4F4F4" w:val="clear"/>
        <w:spacing w:after="60" w:before="60"/>
        <w:ind w:left="720"/>
      </w:pPr>
      <w:r>
        <w:rPr>
          <w:rFonts w:ascii="Courier New" w:cs="Courier New" w:eastAsia="Courier New" w:hAnsi="Courier New"/>
          <w:color w:val="222222"/>
          <w:sz w:val="18"/>
          <w:szCs w:val="18"/>
        </w:rPr>
        <w:t xml:space="preserve">Precio_mercado(Call) = BS(S, K, t, r, σ_implícita)  →  despejamos σ_implícita</w:t>
      </w:r>
    </w:p>
    <w:p>
      <w:pPr>
        <w:spacing w:after="120" w:before="120"/>
      </w:pPr>
      <w:r>
        <w:rPr>
          <w:sz w:val="22"/>
          <w:szCs w:val="22"/>
        </w:rPr>
        <w:t xml:space="preserve">A diferencia de la volatilidad histórica o realizada (calculada sobre precios pasados), la IV es forward-looking: refleja lo que el mercado espera que ocurra, no lo que ha ocurrido.</w:t>
      </w:r>
    </w:p>
    <w:p>
      <w:pPr>
        <w:pStyle w:val="Heading2"/>
        <w:spacing w:after="160" w:before="300"/>
        <w:rPr>
          <w:b/>
          <w:bCs/>
          <w:color w:val="FF9E00"/>
          <w:sz w:val="26"/>
          <w:szCs w:val="26"/>
        </w:rPr>
      </w:pPr>
      <w:r>
        <w:t xml:space="preserve">3.2 Modelo de Black-Scholes</w:t>
      </w:r>
    </w:p>
    <w:p>
      <w:pPr>
        <w:spacing w:after="120" w:before="120"/>
      </w:pPr>
      <w:r>
        <w:rPr>
          <w:sz w:val="22"/>
          <w:szCs w:val="22"/>
        </w:rPr>
        <w:t xml:space="preserve">El modelo de Black-Scholes (1973) proporciona el precio teórico de una opción europea sobre un subyacente que sigue un movimiento browniano geométrico. La fórmula para una call es:</w:t>
      </w:r>
    </w:p>
    <w:p>
      <w:pPr>
        <w:shd w:fill="F4F4F4" w:color="F4F4F4" w:val="clear"/>
        <w:spacing w:after="60" w:before="60"/>
        <w:ind w:left="720"/>
      </w:pPr>
      <w:r>
        <w:rPr>
          <w:rFonts w:ascii="Courier New" w:cs="Courier New" w:eastAsia="Courier New" w:hAnsi="Courier New"/>
          <w:color w:val="222222"/>
          <w:sz w:val="18"/>
          <w:szCs w:val="18"/>
        </w:rPr>
        <w:t xml:space="preserve">C = S · N(d1) − K · e^(−rT) · N(d2)</w:t>
      </w:r>
    </w:p>
    <w:p>
      <w:pPr>
        <w:shd w:fill="F4F4F4" w:color="F4F4F4" w:val="clear"/>
        <w:spacing w:after="60" w:before="60"/>
        <w:ind w:left="720"/>
      </w:pPr>
      <w:r>
        <w:rPr>
          <w:rFonts w:ascii="Courier New" w:cs="Courier New" w:eastAsia="Courier New" w:hAnsi="Courier New"/>
          <w:color w:val="222222"/>
          <w:sz w:val="18"/>
          <w:szCs w:val="18"/>
        </w:rPr>
        <w:t xml:space="preserve">d1 = [ ln(S/K) + (r + σ²/2) · T ] / (σ · √T)</w:t>
      </w:r>
    </w:p>
    <w:p>
      <w:pPr>
        <w:shd w:fill="F4F4F4" w:color="F4F4F4" w:val="clear"/>
        <w:spacing w:after="60" w:before="60"/>
        <w:ind w:left="720"/>
      </w:pPr>
      <w:r>
        <w:rPr>
          <w:rFonts w:ascii="Courier New" w:cs="Courier New" w:eastAsia="Courier New" w:hAnsi="Courier New"/>
          <w:color w:val="222222"/>
          <w:sz w:val="18"/>
          <w:szCs w:val="18"/>
        </w:rPr>
        <w:t xml:space="preserve">d2 = d1 − σ · √T</w:t>
      </w:r>
    </w:p>
    <w:p>
      <w:pPr>
        <w:spacing w:after="120" w:before="120"/>
      </w:pPr>
      <w:r>
        <w:rPr>
          <w:sz w:val="22"/>
          <w:szCs w:val="22"/>
        </w:rPr>
        <w:t xml:space="preserve">Donde:</w:t>
      </w:r>
    </w:p>
    <w:p>
      <w:pPr>
        <w:pStyle w:val="ListParagraph"/>
        <w:numPr>
          <w:ilvl w:val="0"/>
          <w:numId w:val="1"/>
        </w:numPr>
        <w:spacing w:after="80" w:before="80"/>
        <w:ind w:left="720" w:hanging="360"/>
      </w:pPr>
      <w:r>
        <w:rPr>
          <w:sz w:val="22"/>
          <w:szCs w:val="22"/>
        </w:rPr>
        <w:t xml:space="preserve">S = precio actual del subyacente (spot)</w:t>
      </w:r>
    </w:p>
    <w:p>
      <w:pPr>
        <w:pStyle w:val="ListParagraph"/>
        <w:numPr>
          <w:ilvl w:val="0"/>
          <w:numId w:val="1"/>
        </w:numPr>
        <w:spacing w:after="80" w:before="80"/>
        <w:ind w:left="720" w:hanging="360"/>
      </w:pPr>
      <w:r>
        <w:rPr>
          <w:sz w:val="22"/>
          <w:szCs w:val="22"/>
        </w:rPr>
        <w:t xml:space="preserve">K = strike de la opción</w:t>
      </w:r>
    </w:p>
    <w:p>
      <w:pPr>
        <w:pStyle w:val="ListParagraph"/>
        <w:numPr>
          <w:ilvl w:val="0"/>
          <w:numId w:val="1"/>
        </w:numPr>
        <w:spacing w:after="80" w:before="80"/>
        <w:ind w:left="720" w:hanging="360"/>
      </w:pPr>
      <w:r>
        <w:rPr>
          <w:sz w:val="22"/>
          <w:szCs w:val="22"/>
        </w:rPr>
        <w:t xml:space="preserve">T = tiempo a vencimiento en años</w:t>
      </w:r>
    </w:p>
    <w:p>
      <w:pPr>
        <w:pStyle w:val="ListParagraph"/>
        <w:numPr>
          <w:ilvl w:val="0"/>
          <w:numId w:val="1"/>
        </w:numPr>
        <w:spacing w:after="80" w:before="80"/>
        <w:ind w:left="720" w:hanging="360"/>
      </w:pPr>
      <w:r>
        <w:rPr>
          <w:sz w:val="22"/>
          <w:szCs w:val="22"/>
        </w:rPr>
        <w:t xml:space="preserve">r = tasa libre de riesgo (configurable, por defecto 4.5%)</w:t>
      </w:r>
    </w:p>
    <w:p>
      <w:pPr>
        <w:pStyle w:val="ListParagraph"/>
        <w:numPr>
          <w:ilvl w:val="0"/>
          <w:numId w:val="1"/>
        </w:numPr>
        <w:spacing w:after="80" w:before="80"/>
        <w:ind w:left="720" w:hanging="360"/>
      </w:pPr>
      <w:r>
        <w:rPr>
          <w:sz w:val="22"/>
          <w:szCs w:val="22"/>
        </w:rPr>
        <w:t xml:space="preserve">σ = volatilidad implícita</w:t>
      </w:r>
    </w:p>
    <w:p>
      <w:pPr>
        <w:pStyle w:val="ListParagraph"/>
        <w:numPr>
          <w:ilvl w:val="0"/>
          <w:numId w:val="1"/>
        </w:numPr>
        <w:spacing w:after="80" w:before="80"/>
        <w:ind w:left="720" w:hanging="360"/>
      </w:pPr>
      <w:r>
        <w:rPr>
          <w:sz w:val="22"/>
          <w:szCs w:val="22"/>
        </w:rPr>
        <w:t xml:space="preserve">N(·) = función de distribución acumulada de la normal estándar</w:t>
      </w:r>
    </w:p>
    <w:p>
      <w:pPr>
        <w:spacing w:after="120" w:before="120"/>
      </w:pPr>
      <w:r>
        <w:rPr>
          <w:sz w:val="22"/>
          <w:szCs w:val="22"/>
        </w:rPr>
        <w:t xml:space="preserve">La aplicación implementa d1 y d2 en la función _d1_d2() de analisis.py, con T = días/365.</w:t>
      </w:r>
    </w:p>
    <w:p>
      <w:pPr>
        <w:pStyle w:val="Heading2"/>
        <w:spacing w:after="160" w:before="300"/>
        <w:rPr>
          <w:b/>
          <w:bCs/>
          <w:color w:val="FF9E00"/>
          <w:sz w:val="26"/>
          <w:szCs w:val="26"/>
        </w:rPr>
      </w:pPr>
      <w:r>
        <w:t xml:space="preserve">3.3 Delta y probabilidad implícita</w:t>
      </w:r>
    </w:p>
    <w:p>
      <w:pPr>
        <w:spacing w:after="120" w:before="120"/>
      </w:pPr>
      <w:r>
        <w:rPr>
          <w:sz w:val="22"/>
          <w:szCs w:val="22"/>
        </w:rPr>
        <w:t xml:space="preserve">El delta de una call (∂C/∂S) coincide con N(d1) y representa la sensibilidad del precio de la opción respecto al precio del subyacente. Varía entre 0 y 1:</w:t>
      </w:r>
    </w:p>
    <w:p>
      <w:pPr>
        <w:pStyle w:val="ListParagraph"/>
        <w:numPr>
          <w:ilvl w:val="0"/>
          <w:numId w:val="1"/>
        </w:numPr>
        <w:spacing w:after="80" w:before="80"/>
        <w:ind w:left="720" w:hanging="360"/>
      </w:pPr>
      <w:r>
        <w:rPr>
          <w:sz w:val="22"/>
          <w:szCs w:val="22"/>
        </w:rPr>
        <w:t xml:space="preserve">Delta ≈ 1.0 → opción muy dentro del dinero (ITM), se mueve casi 1:1 con el subyacente</w:t>
      </w:r>
    </w:p>
    <w:p>
      <w:pPr>
        <w:pStyle w:val="ListParagraph"/>
        <w:numPr>
          <w:ilvl w:val="0"/>
          <w:numId w:val="1"/>
        </w:numPr>
        <w:spacing w:after="80" w:before="80"/>
        <w:ind w:left="720" w:hanging="360"/>
      </w:pPr>
      <w:r>
        <w:rPr>
          <w:sz w:val="22"/>
          <w:szCs w:val="22"/>
        </w:rPr>
        <w:t xml:space="preserve">Delta ≈ 0.5 → opción en el dinero (ATM)</w:t>
      </w:r>
    </w:p>
    <w:p>
      <w:pPr>
        <w:pStyle w:val="ListParagraph"/>
        <w:numPr>
          <w:ilvl w:val="0"/>
          <w:numId w:val="1"/>
        </w:numPr>
        <w:spacing w:after="80" w:before="80"/>
        <w:ind w:left="720" w:hanging="360"/>
      </w:pPr>
      <w:r>
        <w:rPr>
          <w:sz w:val="22"/>
          <w:szCs w:val="22"/>
        </w:rPr>
        <w:t xml:space="preserve">Delta ≈ 0.0 → opción muy fuera del dinero (OTM), pocas probabilidades de ejercerse</w:t>
      </w:r>
    </w:p>
    <w:p>
      <w:pPr>
        <w:spacing w:after="120" w:before="120"/>
      </w:pPr>
      <w:r>
        <w:rPr>
          <w:sz w:val="22"/>
          <w:szCs w:val="22"/>
        </w:rPr>
        <w:t xml:space="preserve">La probabilidad implícita de que el precio acabe por encima del strike al vencimiento se aproxima mediante N(d2):</w:t>
      </w:r>
    </w:p>
    <w:p>
      <w:pPr>
        <w:shd w:fill="F4F4F4" w:color="F4F4F4" w:val="clear"/>
        <w:spacing w:after="60" w:before="60"/>
        <w:ind w:left="720"/>
      </w:pPr>
      <w:r>
        <w:rPr>
          <w:rFonts w:ascii="Courier New" w:cs="Courier New" w:eastAsia="Courier New" w:hAnsi="Courier New"/>
          <w:color w:val="222222"/>
          <w:sz w:val="18"/>
          <w:szCs w:val="18"/>
        </w:rPr>
        <w:t xml:space="preserve">P(S_T &gt; K) ≈ N(d2)</w:t>
      </w:r>
    </w:p>
    <w:p>
      <w:pPr>
        <w:spacing w:after="120" w:before="120"/>
      </w:pPr>
      <w:r>
        <w:rPr>
          <w:sz w:val="22"/>
          <w:szCs w:val="22"/>
        </w:rPr>
        <w:t xml:space="preserve">Esta es la probabilidad neutral al riesgo, no la probabilidad real del mundo físico. Incorpora la prima de riesgo que los participantes pagan por cubrirse, por lo que tiende a sobreestimar la probabilidad de eventos de cola bajista en activos de renta variable. Es una referencia útil, no una predicción.</w:t>
      </w:r>
    </w:p>
    <w:p>
      <w:pPr>
        <w:pStyle w:val="Heading2"/>
        <w:spacing w:after="160" w:before="300"/>
        <w:rPr>
          <w:b/>
          <w:bCs/>
          <w:color w:val="FF9E00"/>
          <w:sz w:val="26"/>
          <w:szCs w:val="26"/>
        </w:rPr>
      </w:pPr>
      <w:r>
        <w:t xml:space="preserve">3.4 Superficie de volatilidad</w:t>
      </w:r>
    </w:p>
    <w:p>
      <w:pPr>
        <w:spacing w:after="120" w:before="120"/>
      </w:pPr>
      <w:r>
        <w:rPr>
          <w:sz w:val="22"/>
          <w:szCs w:val="22"/>
        </w:rPr>
        <w:t xml:space="preserve">Si el modelo de Black-Scholes fuera perfecto, la IV sería idéntica para todas las opciones sobre el mismo subyacente, independientemente del strike y el vencimiento. En la práctica, la IV varía:</w:t>
      </w:r>
    </w:p>
    <w:p>
      <w:pPr>
        <w:pStyle w:val="ListParagraph"/>
        <w:numPr>
          <w:ilvl w:val="0"/>
          <w:numId w:val="1"/>
        </w:numPr>
        <w:spacing w:after="80" w:before="80"/>
        <w:ind w:left="720" w:hanging="360"/>
      </w:pPr>
      <w:r>
        <w:rPr>
          <w:sz w:val="22"/>
          <w:szCs w:val="22"/>
        </w:rPr>
        <w:t xml:space="preserve">En el eje de strikes: genera patrones conocidos como smile (IV sube en los extremos) o skew/smirk (IV más alta en puts OTM, típico de renta variable)</w:t>
      </w:r>
    </w:p>
    <w:p>
      <w:pPr>
        <w:pStyle w:val="ListParagraph"/>
        <w:numPr>
          <w:ilvl w:val="0"/>
          <w:numId w:val="1"/>
        </w:numPr>
        <w:spacing w:after="80" w:before="80"/>
        <w:ind w:left="720" w:hanging="360"/>
      </w:pPr>
      <w:r>
        <w:rPr>
          <w:sz w:val="22"/>
          <w:szCs w:val="22"/>
        </w:rPr>
        <w:t xml:space="preserve">En el eje temporal: distintos vencimientos tienen distintas IV, formando una estructura temporal</w:t>
      </w:r>
    </w:p>
    <w:p>
      <w:pPr>
        <w:spacing w:after="120" w:before="120"/>
      </w:pPr>
      <w:r>
        <w:rPr>
          <w:sz w:val="22"/>
          <w:szCs w:val="22"/>
        </w:rPr>
        <w:t xml:space="preserve">La superficie de volatilidad es la representación tridimensional de IV(K, T): para cada combinación de strike y tiempo a vencimiento, la altura de la superficie indica cuánta volatilidad implícita cotiza el mercado.</w:t>
      </w:r>
    </w:p>
    <w:p>
      <w:pPr>
        <w:spacing w:after="120" w:before="120"/>
      </w:pPr>
      <w:r>
        <w:rPr>
          <w:sz w:val="22"/>
          <w:szCs w:val="22"/>
        </w:rPr>
        <w:t xml:space="preserve">La interpolación entre los puntos observados se realiza con scipy.interpolate.griddata, primero con método cúbico (más suave) y rellenando los huecos con método lineal.</w:t>
      </w:r>
    </w:p>
    <w:p>
      <w:pPr>
        <w:pStyle w:val="Heading2"/>
        <w:spacing w:after="160" w:before="300"/>
        <w:rPr>
          <w:b/>
          <w:bCs/>
          <w:color w:val="FF9E00"/>
          <w:sz w:val="26"/>
          <w:szCs w:val="26"/>
        </w:rPr>
      </w:pPr>
      <w:r>
        <w:t xml:space="preserve">3.5 Skew de volatilidad</w:t>
      </w:r>
    </w:p>
    <w:p>
      <w:pPr>
        <w:spacing w:after="120" w:before="120"/>
      </w:pPr>
      <w:r>
        <w:rPr>
          <w:sz w:val="22"/>
          <w:szCs w:val="22"/>
        </w:rPr>
        <w:t xml:space="preserve">El skew mide la asimetría de la superficie en el eje de strikes para un vencimiento dado. La aplicación lo calcula como:</w:t>
      </w:r>
    </w:p>
    <w:p>
      <w:pPr>
        <w:shd w:fill="F4F4F4" w:color="F4F4F4" w:val="clear"/>
        <w:spacing w:after="60" w:before="60"/>
        <w:ind w:left="720"/>
      </w:pPr>
      <w:r>
        <w:rPr>
          <w:rFonts w:ascii="Courier New" w:cs="Courier New" w:eastAsia="Courier New" w:hAnsi="Courier New"/>
          <w:color w:val="222222"/>
          <w:sz w:val="18"/>
          <w:szCs w:val="18"/>
        </w:rPr>
        <w:t xml:space="preserve">Skew = IV(K = 0.90 · S) − IV(K = 1.10 · S)</w:t>
      </w:r>
    </w:p>
    <w:p>
      <w:pPr>
        <w:spacing w:after="120" w:before="120"/>
      </w:pPr>
      <w:r>
        <w:rPr>
          <w:sz w:val="22"/>
          <w:szCs w:val="22"/>
        </w:rPr>
        <w:t xml:space="preserve">Un skew positivo y alto (&gt;5 puntos) indica que los puts OTM tienen IV muy superior a los calls OTM del mismo grado de alejamiento del spot. Esto refleja que el mercado paga una prima extra por protección ante caídas fuertes, lo cual es la situación normal en índices y blue chips de renta variable.</w:t>
      </w:r>
    </w:p>
    <w:p>
      <w:pPr>
        <w:pStyle w:val="Heading2"/>
        <w:spacing w:after="160" w:before="300"/>
        <w:rPr>
          <w:b/>
          <w:bCs/>
          <w:color w:val="FF9E00"/>
          <w:sz w:val="26"/>
          <w:szCs w:val="26"/>
        </w:rPr>
      </w:pPr>
      <w:r>
        <w:t xml:space="preserve">3.6 Estructura temporal</w:t>
      </w:r>
    </w:p>
    <w:p>
      <w:pPr>
        <w:spacing w:after="120" w:before="120"/>
      </w:pPr>
      <w:r>
        <w:rPr>
          <w:sz w:val="22"/>
          <w:szCs w:val="22"/>
        </w:rPr>
        <w:t xml:space="preserve">Compara la IV del vencimiento más cercano con la de un vencimiento lejano (≥45 días si existe), tomando el strike más cercano al spot en cada caso:</w:t>
      </w:r>
    </w:p>
    <w:p>
      <w:pPr>
        <w:shd w:fill="F4F4F4" w:color="F4F4F4" w:val="clear"/>
        <w:spacing w:after="60" w:before="60"/>
        <w:ind w:left="720"/>
      </w:pPr>
      <w:r>
        <w:rPr>
          <w:rFonts w:ascii="Courier New" w:cs="Courier New" w:eastAsia="Courier New" w:hAnsi="Courier New"/>
          <w:color w:val="222222"/>
          <w:sz w:val="18"/>
          <w:szCs w:val="18"/>
        </w:rPr>
        <w:t xml:space="preserve">Pendiente = IV(T_cercano, K_ATM) − IV(T_lejano, K_ATM)</w:t>
      </w:r>
    </w:p>
    <w:p>
      <w:pPr>
        <w:pStyle w:val="ListParagraph"/>
        <w:numPr>
          <w:ilvl w:val="0"/>
          <w:numId w:val="1"/>
        </w:numPr>
        <w:spacing w:after="80" w:before="80"/>
        <w:ind w:left="720" w:hanging="360"/>
      </w:pPr>
      <w:r>
        <w:rPr>
          <w:sz w:val="22"/>
          <w:szCs w:val="22"/>
        </w:rPr>
        <w:t xml:space="preserve">Pendiente positiva alta (backwardation): el corto plazo está más caro que el largo. Señal de estrés o evento inminente (resultados, dato macro, reunión de banco central).</w:t>
      </w:r>
    </w:p>
    <w:p>
      <w:pPr>
        <w:pStyle w:val="ListParagraph"/>
        <w:numPr>
          <w:ilvl w:val="0"/>
          <w:numId w:val="1"/>
        </w:numPr>
        <w:spacing w:after="80" w:before="80"/>
        <w:ind w:left="720" w:hanging="360"/>
      </w:pPr>
      <w:r>
        <w:rPr>
          <w:sz w:val="22"/>
          <w:szCs w:val="22"/>
        </w:rPr>
        <w:t xml:space="preserve">Pendiente negativa (contango): situación normal, el largo plazo tiene más IV que el corto. Mercado tranquilo.</w:t>
      </w:r>
    </w:p>
    <w:p>
      <w:pPr>
        <w:pStyle w:val="Heading2"/>
        <w:spacing w:after="160" w:before="300"/>
        <w:rPr>
          <w:b/>
          <w:bCs/>
          <w:color w:val="FF9E00"/>
          <w:sz w:val="26"/>
          <w:szCs w:val="26"/>
        </w:rPr>
      </w:pPr>
      <w:r>
        <w:t xml:space="preserve">3.7 Put/Call Ratio</w:t>
      </w:r>
    </w:p>
    <w:p>
      <w:pPr>
        <w:spacing w:after="120" w:before="120"/>
      </w:pPr>
      <w:r>
        <w:rPr>
          <w:sz w:val="22"/>
          <w:szCs w:val="22"/>
        </w:rPr>
        <w:t xml:space="preserve">Ratio entre la actividad en opciones de venta (puts) y de compra (calls). Se calcula tanto sobre el volumen del día como sobre el open interest acumulado:</w:t>
      </w:r>
    </w:p>
    <w:p>
      <w:pPr>
        <w:shd w:fill="F4F4F4" w:color="F4F4F4" w:val="clear"/>
        <w:spacing w:after="60" w:before="60"/>
        <w:ind w:left="720"/>
      </w:pPr>
      <w:r>
        <w:rPr>
          <w:rFonts w:ascii="Courier New" w:cs="Courier New" w:eastAsia="Courier New" w:hAnsi="Courier New"/>
          <w:color w:val="222222"/>
          <w:sz w:val="18"/>
          <w:szCs w:val="18"/>
        </w:rPr>
        <w:t xml:space="preserve">PCR_volumen = Σ volumen_puts / Σ volumen_calls</w:t>
      </w:r>
    </w:p>
    <w:p>
      <w:pPr>
        <w:shd w:fill="F4F4F4" w:color="F4F4F4" w:val="clear"/>
        <w:spacing w:after="60" w:before="60"/>
        <w:ind w:left="720"/>
      </w:pPr>
      <w:r>
        <w:rPr>
          <w:rFonts w:ascii="Courier New" w:cs="Courier New" w:eastAsia="Courier New" w:hAnsi="Courier New"/>
          <w:color w:val="222222"/>
          <w:sz w:val="18"/>
          <w:szCs w:val="18"/>
        </w:rPr>
        <w:t xml:space="preserve">PCR_OI = Σ OI_puts / Σ OI_calls</w:t>
      </w:r>
    </w:p>
    <w:p>
      <w:pPr>
        <w:spacing w:after="120" w:before="120"/>
      </w:pPr>
      <w:r>
        <w:rPr>
          <w:sz w:val="22"/>
          <w:szCs w:val="22"/>
        </w:rPr>
        <w:t xml:space="preserve">Valores superiores a 1.2 indican predominio defensivo. Valores inferiores a 0.7 indican predominio alcista. Estos umbrales son configurables en evaluar_condiciones() de analisis.py.</w:t>
      </w:r>
    </w:p>
    <w:p>
      <w:pPr>
        <w:pStyle w:val="Heading2"/>
        <w:spacing w:after="160" w:before="300"/>
        <w:rPr>
          <w:b/>
          <w:bCs/>
          <w:color w:val="FF9E00"/>
          <w:sz w:val="26"/>
          <w:szCs w:val="26"/>
        </w:rPr>
      </w:pPr>
      <w:r>
        <w:t xml:space="preserve">3.8 Max Pain</w:t>
      </w:r>
    </w:p>
    <w:p>
      <w:pPr>
        <w:spacing w:after="120" w:before="120"/>
      </w:pPr>
      <w:r>
        <w:rPr>
          <w:sz w:val="22"/>
          <w:szCs w:val="22"/>
        </w:rPr>
        <w:t xml:space="preserve">El precio de max pain es el strike en el que el valor intrínseco total de todas las opciones abiertas es mínimo para el conjunto de los vendedores de opciones. Se calcula iterando sobre todos los strikes posibles:</w:t>
      </w:r>
    </w:p>
    <w:p>
      <w:pPr>
        <w:shd w:fill="F4F4F4" w:color="F4F4F4" w:val="clear"/>
        <w:spacing w:after="60" w:before="60"/>
        <w:ind w:left="720"/>
      </w:pPr>
      <w:r>
        <w:rPr>
          <w:rFonts w:ascii="Courier New" w:cs="Courier New" w:eastAsia="Courier New" w:hAnsi="Courier New"/>
          <w:color w:val="222222"/>
          <w:sz w:val="18"/>
          <w:szCs w:val="18"/>
        </w:rPr>
        <w:t xml:space="preserve">Dolor(S*) = Σ_K max(S* − K, 0) · OI_calls(K) + Σ_K max(K − S*, 0) · OI_puts(K)</w:t>
      </w:r>
    </w:p>
    <w:p>
      <w:pPr>
        <w:shd w:fill="F4F4F4" w:color="F4F4F4" w:val="clear"/>
        <w:spacing w:after="60" w:before="60"/>
        <w:ind w:left="720"/>
      </w:pPr>
      <w:r>
        <w:rPr>
          <w:rFonts w:ascii="Courier New" w:cs="Courier New" w:eastAsia="Courier New" w:hAnsi="Courier New"/>
          <w:color w:val="222222"/>
          <w:sz w:val="18"/>
          <w:szCs w:val="18"/>
        </w:rPr>
        <w:t xml:space="preserve">Max Pain = argmin_S* Dolor(S*)</w:t>
      </w:r>
    </w:p>
    <w:p>
      <w:pPr>
        <w:spacing w:after="120" w:before="120"/>
      </w:pPr>
      <w:r>
        <w:rPr>
          <w:sz w:val="22"/>
          <w:szCs w:val="22"/>
        </w:rPr>
        <w:t xml:space="preserve">La hipótesis detrás es que los creadores de mercado, que suelen ser vendedores netos de opciones, ajustan sus coberturas de forma que el precio tiende a gravitiar hacia el nivel de máximo dolor para los compradores (mínimo para los vendedores) al acercarse el vencimiento. Es una heurística empírica, no una ley del mercado.</w:t>
      </w:r>
    </w:p>
    <w:p>
      <w:pPr>
        <w:pStyle w:val="Heading2"/>
        <w:spacing w:after="160" w:before="300"/>
        <w:rPr>
          <w:b/>
          <w:bCs/>
          <w:color w:val="FF9E00"/>
          <w:sz w:val="26"/>
          <w:szCs w:val="26"/>
        </w:rPr>
      </w:pPr>
      <w:r>
        <w:t xml:space="preserve">3.9 Movimiento esperado por el straddle</w:t>
      </w:r>
    </w:p>
    <w:p>
      <w:pPr>
        <w:spacing w:after="120" w:before="120"/>
      </w:pPr>
      <w:r>
        <w:rPr>
          <w:sz w:val="22"/>
          <w:szCs w:val="22"/>
        </w:rPr>
        <w:t xml:space="preserve">El straddle ATM (compra simultánea de call y put del mismo strike en el dinero) tiene un coste que refleja directamente el movimiento total que el mercado espera hasta vencimiento, en cualquier dirección:</w:t>
      </w:r>
    </w:p>
    <w:p>
      <w:pPr>
        <w:shd w:fill="F4F4F4" w:color="F4F4F4" w:val="clear"/>
        <w:spacing w:after="60" w:before="60"/>
        <w:ind w:left="720"/>
      </w:pPr>
      <w:r>
        <w:rPr>
          <w:rFonts w:ascii="Courier New" w:cs="Courier New" w:eastAsia="Courier New" w:hAnsi="Courier New"/>
          <w:color w:val="222222"/>
          <w:sz w:val="18"/>
          <w:szCs w:val="18"/>
        </w:rPr>
        <w:t xml:space="preserve">Coste_straddle = Precio_Call_ATM + Precio_Put_ATM</w:t>
      </w:r>
    </w:p>
    <w:p>
      <w:pPr>
        <w:shd w:fill="F4F4F4" w:color="F4F4F4" w:val="clear"/>
        <w:spacing w:after="60" w:before="60"/>
        <w:ind w:left="720"/>
      </w:pPr>
      <w:r>
        <w:rPr>
          <w:rFonts w:ascii="Courier New" w:cs="Courier New" w:eastAsia="Courier New" w:hAnsi="Courier New"/>
          <w:color w:val="222222"/>
          <w:sz w:val="18"/>
          <w:szCs w:val="18"/>
        </w:rPr>
        <w:t xml:space="preserve">Movimiento_esperado (%) = Coste_straddle / Spot · 100</w:t>
      </w:r>
    </w:p>
    <w:p>
      <w:pPr>
        <w:spacing w:after="120" w:before="120"/>
      </w:pPr>
      <w:r>
        <w:rPr>
          <w:sz w:val="22"/>
          <w:szCs w:val="22"/>
        </w:rPr>
        <w:t xml:space="preserve">Esta es la lectura más directa e intuitiva de la superficie: si el straddle cuesta 12 con el subyacente en 115, el mercado espera un movimiento de ±10.4% hasta vencimiento.</w:t>
      </w:r>
    </w:p>
    <w:p>
      <w:pPr>
        <w:pBdr>
          <w:bottom w:val="single" w:color="CCCCCC" w:sz="6"/>
        </w:pBdr>
        <w:spacing w:after="200" w:before="200"/>
      </w:pPr>
    </w:p>
    <w:p>
      <w:pPr>
        <w:pStyle w:val="Heading1"/>
        <w:spacing w:after="200" w:before="400"/>
        <w:rPr>
          <w:b/>
          <w:bCs/>
          <w:color w:val="FF9E00"/>
          <w:sz w:val="32"/>
          <w:szCs w:val="32"/>
        </w:rPr>
      </w:pPr>
      <w:r>
        <w:t xml:space="preserve">4. Limpieza de datos — el problema de la IV inflada</w:t>
      </w:r>
    </w:p>
    <w:p>
      <w:pPr>
        <w:spacing w:after="120" w:before="120"/>
      </w:pPr>
      <w:r>
        <w:rPr>
          <w:sz w:val="22"/>
          <w:szCs w:val="22"/>
        </w:rPr>
        <w:t xml:space="preserve">Este es el punto más crítico de la implementación. Yahoo Finance devuelve volatilidad implícita calculada para absolutamente todas las opciones listadas, incluyendo aquellas que:</w:t>
      </w:r>
    </w:p>
    <w:p>
      <w:pPr>
        <w:pStyle w:val="ListParagraph"/>
        <w:numPr>
          <w:ilvl w:val="0"/>
          <w:numId w:val="1"/>
        </w:numPr>
        <w:spacing w:after="80" w:before="80"/>
        <w:ind w:left="720" w:hanging="360"/>
      </w:pPr>
      <w:r>
        <w:rPr>
          <w:sz w:val="22"/>
          <w:szCs w:val="22"/>
        </w:rPr>
        <w:t xml:space="preserve">Llevan días o semanas sin negociarse</w:t>
      </w:r>
    </w:p>
    <w:p>
      <w:pPr>
        <w:pStyle w:val="ListParagraph"/>
        <w:numPr>
          <w:ilvl w:val="0"/>
          <w:numId w:val="1"/>
        </w:numPr>
        <w:spacing w:after="80" w:before="80"/>
        <w:ind w:left="720" w:hanging="360"/>
      </w:pPr>
      <w:r>
        <w:rPr>
          <w:sz w:val="22"/>
          <w:szCs w:val="22"/>
        </w:rPr>
        <w:t xml:space="preserve">Tienen una horquilla bid/ask absurda (ej: bid 0.01 / ask 2.50)</w:t>
      </w:r>
    </w:p>
    <w:p>
      <w:pPr>
        <w:pStyle w:val="ListParagraph"/>
        <w:numPr>
          <w:ilvl w:val="0"/>
          <w:numId w:val="1"/>
        </w:numPr>
        <w:spacing w:after="80" w:before="80"/>
        <w:ind w:left="720" w:hanging="360"/>
      </w:pPr>
      <w:r>
        <w:rPr>
          <w:sz w:val="22"/>
          <w:szCs w:val="22"/>
        </w:rPr>
        <w:t xml:space="preserve">Están tan alejadas del precio actual que prácticamente nadie las toca</w:t>
      </w:r>
    </w:p>
    <w:p>
      <w:pPr>
        <w:spacing w:after="120" w:before="120"/>
      </w:pPr>
      <w:r>
        <w:rPr>
          <w:sz w:val="22"/>
          <w:szCs w:val="22"/>
        </w:rPr>
        <w:t xml:space="preserve">En esos casos, el cálculo de IV produce valores de 200%, 400% o incluso 900% que no representan ninguna expectativa real de mercado. Estos datos sin filtrar deforman gravemente la superficie 3D y hacen que las métricas sean inútiles.</w:t>
      </w:r>
    </w:p>
    <w:p>
      <w:pPr>
        <w:pStyle w:val="Heading3"/>
        <w:spacing w:after="120" w:before="240"/>
        <w:rPr>
          <w:b/>
          <w:bCs/>
          <w:color w:val="1A1A1A"/>
          <w:sz w:val="22"/>
          <w:szCs w:val="22"/>
        </w:rPr>
      </w:pPr>
      <w:r>
        <w:t xml:space="preserve">Criterios de filtrado (analisis.py → limpiar_cadena())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shd w:fill="FF9E00" w:color="FF9E00" w:val="clear"/>
          </w:tcPr>
          <w:p>
            <w:r>
              <w:rPr>
                <w:b/>
                <w:bCs/>
                <w:color w:val="FFFFFF"/>
                <w:sz w:val="20"/>
                <w:szCs w:val="20"/>
              </w:rPr>
              <w:t xml:space="preserve">Criterio</w:t>
            </w:r>
          </w:p>
        </w:tc>
        <w:tc>
          <w:tcPr>
            <w:tcW w:type="dxa" w:w="2000"/>
            <w:shd w:fill="FF9E00" w:color="FF9E00" w:val="clear"/>
          </w:tcPr>
          <w:p>
            <w:r>
              <w:rPr>
                <w:b/>
                <w:bCs/>
                <w:color w:val="FFFFFF"/>
                <w:sz w:val="20"/>
                <w:szCs w:val="20"/>
              </w:rPr>
              <w:t xml:space="preserve">Umbral</w:t>
            </w:r>
          </w:p>
        </w:tc>
        <w:tc>
          <w:tcPr>
            <w:tcW w:type="dxa" w:w="5360"/>
            <w:shd w:fill="FF9E00" w:color="FF9E00" w:val="clear"/>
          </w:tcPr>
          <w:p>
            <w:r>
              <w:rPr>
                <w:b/>
                <w:bCs/>
                <w:color w:val="FFFFFF"/>
                <w:sz w:val="20"/>
                <w:szCs w:val="20"/>
              </w:rPr>
              <w:t xml:space="preserve">Motivo</w:t>
            </w:r>
          </w:p>
        </w:tc>
      </w:tr>
      <w:tr>
        <w:tc>
          <w:tcPr>
            <w:tcW w:type="dxa" w:w="2000"/>
            <w:shd w:fill="FFFFFF" w:color="FFFFFF" w:val="clear"/>
          </w:tcPr>
          <w:p>
            <w:r>
              <w:rPr>
                <w:sz w:val="20"/>
                <w:szCs w:val="20"/>
              </w:rPr>
              <w:t xml:space="preserve">IV mínima</w:t>
            </w:r>
          </w:p>
        </w:tc>
        <w:tc>
          <w:tcPr>
            <w:tcW w:type="dxa" w:w="2000"/>
            <w:shd w:fill="FFFFFF" w:color="FFFFFF" w:val="clear"/>
          </w:tcPr>
          <w:p>
            <w:r>
              <w:rPr>
                <w:sz w:val="20"/>
                <w:szCs w:val="20"/>
              </w:rPr>
              <w:t xml:space="preserve">1% (0.01)</w:t>
            </w:r>
          </w:p>
        </w:tc>
        <w:tc>
          <w:tcPr>
            <w:tcW w:type="dxa" w:w="5360"/>
            <w:shd w:fill="FFFFFF" w:color="FFFFFF" w:val="clear"/>
          </w:tcPr>
          <w:p>
            <w:r>
              <w:rPr>
                <w:sz w:val="20"/>
                <w:szCs w:val="20"/>
              </w:rPr>
              <w:t xml:space="preserve">Por debajo suele ser un placeholder de Yahoo, no un valor real</w:t>
            </w:r>
          </w:p>
        </w:tc>
      </w:tr>
      <w:tr>
        <w:tc>
          <w:tcPr>
            <w:tcW w:type="dxa" w:w="2000"/>
            <w:shd w:fill="FFFBF0" w:color="FFFBF0" w:val="clear"/>
          </w:tcPr>
          <w:p>
            <w:r>
              <w:rPr>
                <w:sz w:val="20"/>
                <w:szCs w:val="20"/>
              </w:rPr>
              <w:t xml:space="preserve">IV máxima</w:t>
            </w:r>
          </w:p>
        </w:tc>
        <w:tc>
          <w:tcPr>
            <w:tcW w:type="dxa" w:w="2000"/>
            <w:shd w:fill="FFFBF0" w:color="FFFBF0" w:val="clear"/>
          </w:tcPr>
          <w:p>
            <w:r>
              <w:rPr>
                <w:sz w:val="20"/>
                <w:szCs w:val="20"/>
              </w:rPr>
              <w:t xml:space="preserve">300% (3.00)</w:t>
            </w:r>
          </w:p>
        </w:tc>
        <w:tc>
          <w:tcPr>
            <w:tcW w:type="dxa" w:w="5360"/>
            <w:shd w:fill="FFFBF0" w:color="FFFBF0" w:val="clear"/>
          </w:tcPr>
          <w:p>
            <w:r>
              <w:rPr>
                <w:sz w:val="20"/>
                <w:szCs w:val="20"/>
              </w:rPr>
              <w:t xml:space="preserve">Por encima casi siempre es ruido de opciones ilíquidas o errores de cálculo</w:t>
            </w:r>
          </w:p>
        </w:tc>
      </w:tr>
      <w:tr>
        <w:tc>
          <w:tcPr>
            <w:tcW w:type="dxa" w:w="2000"/>
            <w:shd w:fill="FFFFFF" w:color="FFFFFF" w:val="clear"/>
          </w:tcPr>
          <w:p>
            <w:r>
              <w:rPr>
                <w:sz w:val="20"/>
                <w:szCs w:val="20"/>
              </w:rPr>
              <w:t xml:space="preserve">Volumen + OI</w:t>
            </w:r>
          </w:p>
        </w:tc>
        <w:tc>
          <w:tcPr>
            <w:tcW w:type="dxa" w:w="2000"/>
            <w:shd w:fill="FFFFFF" w:color="FFFFFF" w:val="clear"/>
          </w:tcPr>
          <w:p>
            <w:r>
              <w:rPr>
                <w:sz w:val="20"/>
                <w:szCs w:val="20"/>
              </w:rPr>
              <w:t xml:space="preserve">Al menos uno &gt; 0</w:t>
            </w:r>
          </w:p>
        </w:tc>
        <w:tc>
          <w:tcPr>
            <w:tcW w:type="dxa" w:w="5360"/>
            <w:shd w:fill="FFFFFF" w:color="FFFFFF" w:val="clear"/>
          </w:tcPr>
          <w:p>
            <w:r>
              <w:rPr>
                <w:sz w:val="20"/>
                <w:szCs w:val="20"/>
              </w:rPr>
              <w:t xml:space="preserve">Si nadie ha operado ni tiene posiciones abiertas, el precio no es fiable</w:t>
            </w:r>
          </w:p>
        </w:tc>
      </w:tr>
      <w:tr>
        <w:tc>
          <w:tcPr>
            <w:tcW w:type="dxa" w:w="2000"/>
            <w:shd w:fill="FFFBF0" w:color="FFFBF0" w:val="clear"/>
          </w:tcPr>
          <w:p>
            <w:r>
              <w:rPr>
                <w:sz w:val="20"/>
                <w:szCs w:val="20"/>
              </w:rPr>
              <w:t xml:space="preserve">Last Price</w:t>
            </w:r>
          </w:p>
        </w:tc>
        <w:tc>
          <w:tcPr>
            <w:tcW w:type="dxa" w:w="2000"/>
            <w:shd w:fill="FFFBF0" w:color="FFFBF0" w:val="clear"/>
          </w:tcPr>
          <w:p>
            <w:r>
              <w:rPr>
                <w:sz w:val="20"/>
                <w:szCs w:val="20"/>
              </w:rPr>
              <w:t xml:space="preserve">&gt; 0</w:t>
            </w:r>
          </w:p>
        </w:tc>
        <w:tc>
          <w:tcPr>
            <w:tcW w:type="dxa" w:w="5360"/>
            <w:shd w:fill="FFFBF0" w:color="FFFBF0" w:val="clear"/>
          </w:tcPr>
          <w:p>
            <w:r>
              <w:rPr>
                <w:sz w:val="20"/>
                <w:szCs w:val="20"/>
              </w:rPr>
              <w:t xml:space="preserve">Sin precio real no hay IV real</w:t>
            </w:r>
          </w:p>
        </w:tc>
      </w:tr>
      <w:tr>
        <w:tc>
          <w:tcPr>
            <w:tcW w:type="dxa" w:w="2000"/>
            <w:shd w:fill="FFFFFF" w:color="FFFFFF" w:val="clear"/>
          </w:tcPr>
          <w:p>
            <w:r>
              <w:rPr>
                <w:sz w:val="20"/>
                <w:szCs w:val="20"/>
              </w:rPr>
              <w:t xml:space="preserve">Horquilla bid/ask</w:t>
            </w:r>
          </w:p>
        </w:tc>
        <w:tc>
          <w:tcPr>
            <w:tcW w:type="dxa" w:w="2000"/>
            <w:shd w:fill="FFFFFF" w:color="FFFFFF" w:val="clear"/>
          </w:tcPr>
          <w:p>
            <w:r>
              <w:rPr>
                <w:sz w:val="20"/>
                <w:szCs w:val="20"/>
              </w:rPr>
              <w:t xml:space="preserve">&lt; 200% del mid</w:t>
            </w:r>
          </w:p>
        </w:tc>
        <w:tc>
          <w:tcPr>
            <w:tcW w:type="dxa" w:w="5360"/>
            <w:shd w:fill="FFFFFF" w:color="FFFFFF" w:val="clear"/>
          </w:tcPr>
          <w:p>
            <w:r>
              <w:rPr>
                <w:sz w:val="20"/>
                <w:szCs w:val="20"/>
              </w:rPr>
              <w:t xml:space="preserve">(ask-bid)/mid &lt; 2.0 — una horquilla mayor indica iliquidez extrema</w:t>
            </w:r>
          </w:p>
        </w:tc>
      </w:tr>
    </w:tbl>
    <w:p>
      <w:pPr>
        <w:spacing w:before="200"/>
      </w:pPr>
    </w:p>
    <w:p>
      <w:pPr>
        <w:spacing w:after="120" w:before="120"/>
      </w:pPr>
      <w:r>
        <w:rPr>
          <w:sz w:val="22"/>
          <w:szCs w:val="22"/>
        </w:rPr>
        <w:t xml:space="preserve">La cabecera de la aplicación muestra en tiempo real cuántas opciones han pasado el filtro (ej: DATOS ÚTILES 340/1200 (28%)). Un porcentaje bajo es normal y no indica un problema: significa que el activo tiene muchos strikes listados pero pocos realmente negociados.</w:t>
      </w:r>
    </w:p>
    <w:p>
      <w:pPr>
        <w:pBdr>
          <w:bottom w:val="single" w:color="CCCCCC" w:sz="6"/>
        </w:pBdr>
        <w:spacing w:after="200" w:before="200"/>
      </w:pPr>
    </w:p>
    <w:p>
      <w:pPr>
        <w:pStyle w:val="Heading1"/>
        <w:spacing w:after="200" w:before="400"/>
        <w:rPr>
          <w:b/>
          <w:bCs/>
          <w:color w:val="FF9E00"/>
          <w:sz w:val="32"/>
          <w:szCs w:val="32"/>
        </w:rPr>
      </w:pPr>
      <w:r>
        <w:t xml:space="preserve">5. Motor de sentimiento — condiciones y lectura agregada</w:t>
      </w:r>
    </w:p>
    <w:p>
      <w:pPr>
        <w:spacing w:after="120" w:before="120"/>
      </w:pPr>
      <w:r>
        <w:rPr>
          <w:sz w:val="22"/>
          <w:szCs w:val="22"/>
        </w:rPr>
        <w:t xml:space="preserve">El motor evalúa 6 condiciones objetivas derivadas de las métricas anteriores y las clasifica por sesgo (alcista / bajista / neutral) y horizonte (corto / medio plazo). La lectura agregada cuenta cuántas se cumplen a cada lado y devuelve una etiqueta: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000"/>
        <w:gridCol w:w="2960"/>
      </w:tblGrid>
      <w:tr>
        <w:trPr>
          <w:tblHeader/>
        </w:trPr>
        <w:tc>
          <w:tcPr>
            <w:tcW w:type="dxa" w:w="3000"/>
            <w:shd w:fill="FF9E00" w:color="FF9E00" w:val="clear"/>
          </w:tcPr>
          <w:p>
            <w:r>
              <w:rPr>
                <w:b/>
                <w:bCs/>
                <w:color w:val="FFFFFF"/>
                <w:sz w:val="20"/>
                <w:szCs w:val="20"/>
              </w:rPr>
              <w:t xml:space="preserve">Condición</w:t>
            </w:r>
          </w:p>
        </w:tc>
        <w:tc>
          <w:tcPr>
            <w:tcW w:type="dxa" w:w="1400"/>
            <w:shd w:fill="FF9E00" w:color="FF9E00" w:val="clear"/>
          </w:tcPr>
          <w:p>
            <w:r>
              <w:rPr>
                <w:b/>
                <w:bCs/>
                <w:color w:val="FFFFFF"/>
                <w:sz w:val="20"/>
                <w:szCs w:val="20"/>
              </w:rPr>
              <w:t xml:space="preserve">Horizonte</w:t>
            </w:r>
          </w:p>
        </w:tc>
        <w:tc>
          <w:tcPr>
            <w:tcW w:type="dxa" w:w="2000"/>
            <w:shd w:fill="FF9E00" w:color="FF9E00" w:val="clear"/>
          </w:tcPr>
          <w:p>
            <w:r>
              <w:rPr>
                <w:b/>
                <w:bCs/>
                <w:color w:val="FFFFFF"/>
                <w:sz w:val="20"/>
                <w:szCs w:val="20"/>
              </w:rPr>
              <w:t xml:space="preserve">Umbral bajista</w:t>
            </w:r>
          </w:p>
        </w:tc>
        <w:tc>
          <w:tcPr>
            <w:tcW w:type="dxa" w:w="2960"/>
            <w:shd w:fill="FF9E00" w:color="FF9E00" w:val="clear"/>
          </w:tcPr>
          <w:p>
            <w:r>
              <w:rPr>
                <w:b/>
                <w:bCs/>
                <w:color w:val="FFFFFF"/>
                <w:sz w:val="20"/>
                <w:szCs w:val="20"/>
              </w:rPr>
              <w:t xml:space="preserve">Umbral alcista</w:t>
            </w:r>
          </w:p>
        </w:tc>
      </w:tr>
      <w:tr>
        <w:tc>
          <w:tcPr>
            <w:tcW w:type="dxa" w:w="3000"/>
            <w:shd w:fill="FFFFFF" w:color="FFFFFF" w:val="clear"/>
          </w:tcPr>
          <w:p>
            <w:r>
              <w:rPr>
                <w:sz w:val="20"/>
                <w:szCs w:val="20"/>
              </w:rPr>
              <w:t xml:space="preserve">PCR Volumen</w:t>
            </w:r>
          </w:p>
        </w:tc>
        <w:tc>
          <w:tcPr>
            <w:tcW w:type="dxa" w:w="1400"/>
            <w:shd w:fill="FFFFFF" w:color="FFFFFF" w:val="clear"/>
          </w:tcPr>
          <w:p>
            <w:r>
              <w:rPr>
                <w:sz w:val="20"/>
                <w:szCs w:val="20"/>
              </w:rPr>
              <w:t xml:space="preserve">Corto</w:t>
            </w:r>
          </w:p>
        </w:tc>
        <w:tc>
          <w:tcPr>
            <w:tcW w:type="dxa" w:w="2000"/>
            <w:shd w:fill="FFFFFF" w:color="FFFFFF" w:val="clear"/>
          </w:tcPr>
          <w:p>
            <w:r>
              <w:rPr>
                <w:sz w:val="20"/>
                <w:szCs w:val="20"/>
              </w:rPr>
              <w:t xml:space="preserve">&gt; 1.2</w:t>
            </w:r>
          </w:p>
        </w:tc>
        <w:tc>
          <w:tcPr>
            <w:tcW w:type="dxa" w:w="2960"/>
            <w:shd w:fill="FFFFFF" w:color="FFFFFF" w:val="clear"/>
          </w:tcPr>
          <w:p>
            <w:r>
              <w:rPr>
                <w:sz w:val="20"/>
                <w:szCs w:val="20"/>
              </w:rPr>
              <w:t xml:space="preserve">&lt; 0.7</w:t>
            </w:r>
          </w:p>
        </w:tc>
      </w:tr>
      <w:tr>
        <w:tc>
          <w:tcPr>
            <w:tcW w:type="dxa" w:w="3000"/>
            <w:shd w:fill="FFFBF0" w:color="FFFBF0" w:val="clear"/>
          </w:tcPr>
          <w:p>
            <w:r>
              <w:rPr>
                <w:sz w:val="20"/>
                <w:szCs w:val="20"/>
              </w:rPr>
              <w:t xml:space="preserve">PCR Open Interest</w:t>
            </w:r>
          </w:p>
        </w:tc>
        <w:tc>
          <w:tcPr>
            <w:tcW w:type="dxa" w:w="1400"/>
            <w:shd w:fill="FFFBF0" w:color="FFFBF0" w:val="clear"/>
          </w:tcPr>
          <w:p>
            <w:r>
              <w:rPr>
                <w:sz w:val="20"/>
                <w:szCs w:val="20"/>
              </w:rPr>
              <w:t xml:space="preserve">Medio</w:t>
            </w:r>
          </w:p>
        </w:tc>
        <w:tc>
          <w:tcPr>
            <w:tcW w:type="dxa" w:w="2000"/>
            <w:shd w:fill="FFFBF0" w:color="FFFBF0" w:val="clear"/>
          </w:tcPr>
          <w:p>
            <w:r>
              <w:rPr>
                <w:sz w:val="20"/>
                <w:szCs w:val="20"/>
              </w:rPr>
              <w:t xml:space="preserve">&gt; 1.2</w:t>
            </w:r>
          </w:p>
        </w:tc>
        <w:tc>
          <w:tcPr>
            <w:tcW w:type="dxa" w:w="2960"/>
            <w:shd w:fill="FFFBF0" w:color="FFFBF0" w:val="clear"/>
          </w:tcPr>
          <w:p>
            <w:r>
              <w:rPr>
                <w:sz w:val="20"/>
                <w:szCs w:val="20"/>
              </w:rPr>
              <w:t xml:space="preserve">&lt; 0.7</w:t>
            </w:r>
          </w:p>
        </w:tc>
      </w:tr>
      <w:tr>
        <w:tc>
          <w:tcPr>
            <w:tcW w:type="dxa" w:w="3000"/>
            <w:shd w:fill="FFFFFF" w:color="FFFFFF" w:val="clear"/>
          </w:tcPr>
          <w:p>
            <w:r>
              <w:rPr>
                <w:sz w:val="20"/>
                <w:szCs w:val="20"/>
              </w:rPr>
              <w:t xml:space="preserve">Skew (put 90% − call 110%)</w:t>
            </w:r>
          </w:p>
        </w:tc>
        <w:tc>
          <w:tcPr>
            <w:tcW w:type="dxa" w:w="1400"/>
            <w:shd w:fill="FFFFFF" w:color="FFFFFF" w:val="clear"/>
          </w:tcPr>
          <w:p>
            <w:r>
              <w:rPr>
                <w:sz w:val="20"/>
                <w:szCs w:val="20"/>
              </w:rPr>
              <w:t xml:space="preserve">Medio</w:t>
            </w:r>
          </w:p>
        </w:tc>
        <w:tc>
          <w:tcPr>
            <w:tcW w:type="dxa" w:w="2000"/>
            <w:shd w:fill="FFFFFF" w:color="FFFFFF" w:val="clear"/>
          </w:tcPr>
          <w:p>
            <w:r>
              <w:rPr>
                <w:sz w:val="20"/>
                <w:szCs w:val="20"/>
              </w:rPr>
              <w:t xml:space="preserve">&gt; +5 pts</w:t>
            </w:r>
          </w:p>
        </w:tc>
        <w:tc>
          <w:tcPr>
            <w:tcW w:type="dxa" w:w="2960"/>
            <w:shd w:fill="FFFFFF" w:color="FFFFFF" w:val="clear"/>
          </w:tcPr>
          <w:p>
            <w:r>
              <w:rPr>
                <w:sz w:val="20"/>
                <w:szCs w:val="20"/>
              </w:rPr>
              <w:t xml:space="preserve">&lt; −2 pts</w:t>
            </w:r>
          </w:p>
        </w:tc>
      </w:tr>
      <w:tr>
        <w:tc>
          <w:tcPr>
            <w:tcW w:type="dxa" w:w="3000"/>
            <w:shd w:fill="FFFBF0" w:color="FFFBF0" w:val="clear"/>
          </w:tcPr>
          <w:p>
            <w:r>
              <w:rPr>
                <w:sz w:val="20"/>
                <w:szCs w:val="20"/>
              </w:rPr>
              <w:t xml:space="preserve">Estructura temporal (cercana − lejana)</w:t>
            </w:r>
          </w:p>
        </w:tc>
        <w:tc>
          <w:tcPr>
            <w:tcW w:type="dxa" w:w="1400"/>
            <w:shd w:fill="FFFBF0" w:color="FFFBF0" w:val="clear"/>
          </w:tcPr>
          <w:p>
            <w:r>
              <w:rPr>
                <w:sz w:val="20"/>
                <w:szCs w:val="20"/>
              </w:rPr>
              <w:t xml:space="preserve">Corto</w:t>
            </w:r>
          </w:p>
        </w:tc>
        <w:tc>
          <w:tcPr>
            <w:tcW w:type="dxa" w:w="2000"/>
            <w:shd w:fill="FFFBF0" w:color="FFFBF0" w:val="clear"/>
          </w:tcPr>
          <w:p>
            <w:r>
              <w:rPr>
                <w:sz w:val="20"/>
                <w:szCs w:val="20"/>
              </w:rPr>
              <w:t xml:space="preserve">&gt; +2 pts</w:t>
            </w:r>
          </w:p>
        </w:tc>
        <w:tc>
          <w:tcPr>
            <w:tcW w:type="dxa" w:w="2960"/>
            <w:shd w:fill="FFFBF0" w:color="FFFBF0" w:val="clear"/>
          </w:tcPr>
          <w:p>
            <w:r>
              <w:rPr>
                <w:sz w:val="20"/>
                <w:szCs w:val="20"/>
              </w:rPr>
              <w:t xml:space="preserve">&lt; −2 pts</w:t>
            </w:r>
          </w:p>
        </w:tc>
      </w:tr>
      <w:tr>
        <w:tc>
          <w:tcPr>
            <w:tcW w:type="dxa" w:w="3000"/>
            <w:shd w:fill="FFFFFF" w:color="FFFFFF" w:val="clear"/>
          </w:tcPr>
          <w:p>
            <w:r>
              <w:rPr>
                <w:sz w:val="20"/>
                <w:szCs w:val="20"/>
              </w:rPr>
              <w:t xml:space="preserve">Prima IV sobre vol. realizada 30d</w:t>
            </w:r>
          </w:p>
        </w:tc>
        <w:tc>
          <w:tcPr>
            <w:tcW w:type="dxa" w:w="1400"/>
            <w:shd w:fill="FFFFFF" w:color="FFFFFF" w:val="clear"/>
          </w:tcPr>
          <w:p>
            <w:r>
              <w:rPr>
                <w:sz w:val="20"/>
                <w:szCs w:val="20"/>
              </w:rPr>
              <w:t xml:space="preserve">Corto</w:t>
            </w:r>
          </w:p>
        </w:tc>
        <w:tc>
          <w:tcPr>
            <w:tcW w:type="dxa" w:w="2000"/>
            <w:shd w:fill="FFFFFF" w:color="FFFFFF" w:val="clear"/>
          </w:tcPr>
          <w:p>
            <w:r>
              <w:rPr>
                <w:sz w:val="20"/>
                <w:szCs w:val="20"/>
              </w:rPr>
              <w:t xml:space="preserve">IV &gt;&gt; RV +5 pts (neutral)</w:t>
            </w:r>
          </w:p>
        </w:tc>
        <w:tc>
          <w:tcPr>
            <w:tcW w:type="dxa" w:w="2960"/>
            <w:shd w:fill="FFFFFF" w:color="FFFFFF" w:val="clear"/>
          </w:tcPr>
          <w:p>
            <w:r>
              <w:rPr>
                <w:sz w:val="20"/>
                <w:szCs w:val="20"/>
              </w:rPr>
              <w:t xml:space="preserve">—</w:t>
            </w:r>
          </w:p>
        </w:tc>
      </w:tr>
      <w:tr>
        <w:tc>
          <w:tcPr>
            <w:tcW w:type="dxa" w:w="3000"/>
            <w:shd w:fill="FFFBF0" w:color="FFFBF0" w:val="clear"/>
          </w:tcPr>
          <w:p>
            <w:r>
              <w:rPr>
                <w:sz w:val="20"/>
                <w:szCs w:val="20"/>
              </w:rPr>
              <w:t xml:space="preserve">Max Pain vs Spot</w:t>
            </w:r>
          </w:p>
        </w:tc>
        <w:tc>
          <w:tcPr>
            <w:tcW w:type="dxa" w:w="1400"/>
            <w:shd w:fill="FFFBF0" w:color="FFFBF0" w:val="clear"/>
          </w:tcPr>
          <w:p>
            <w:r>
              <w:rPr>
                <w:sz w:val="20"/>
                <w:szCs w:val="20"/>
              </w:rPr>
              <w:t xml:space="preserve">Corto</w:t>
            </w:r>
          </w:p>
        </w:tc>
        <w:tc>
          <w:tcPr>
            <w:tcW w:type="dxa" w:w="2000"/>
            <w:shd w:fill="FFFBF0" w:color="FFFBF0" w:val="clear"/>
          </w:tcPr>
          <w:p>
            <w:r>
              <w:rPr>
                <w:sz w:val="20"/>
                <w:szCs w:val="20"/>
              </w:rPr>
              <w:t xml:space="preserve">Max Pain &lt; Spot −2%</w:t>
            </w:r>
          </w:p>
        </w:tc>
        <w:tc>
          <w:tcPr>
            <w:tcW w:type="dxa" w:w="2960"/>
            <w:shd w:fill="FFFBF0" w:color="FFFBF0" w:val="clear"/>
          </w:tcPr>
          <w:p>
            <w:r>
              <w:rPr>
                <w:sz w:val="20"/>
                <w:szCs w:val="20"/>
              </w:rPr>
              <w:t xml:space="preserve">Max Pain &gt; Spot +2%</w:t>
            </w:r>
          </w:p>
        </w:tc>
      </w:tr>
    </w:tbl>
    <w:p>
      <w:pPr>
        <w:spacing w:before="200"/>
      </w:pPr>
    </w:p>
    <w:p>
      <w:pPr>
        <w:pStyle w:val="Heading3"/>
        <w:spacing w:after="120" w:before="240"/>
        <w:rPr>
          <w:b/>
          <w:bCs/>
          <w:color w:val="1A1A1A"/>
          <w:sz w:val="22"/>
          <w:szCs w:val="22"/>
        </w:rPr>
      </w:pPr>
      <w:r>
        <w:t xml:space="preserve">Lógica de agregación</w:t>
      </w:r>
    </w:p>
    <w:p>
      <w:pPr>
        <w:pStyle w:val="ListParagraph"/>
        <w:numPr>
          <w:ilvl w:val="0"/>
          <w:numId w:val="1"/>
        </w:numPr>
        <w:spacing w:after="80" w:before="80"/>
        <w:ind w:left="720" w:hanging="360"/>
      </w:pPr>
      <w:r>
        <w:rPr>
          <w:sz w:val="22"/>
          <w:szCs w:val="22"/>
        </w:rPr>
        <w:t xml:space="preserve">Diferencia ≥ 2 condiciones a un lado → SESGO ALCISTA / BAJISTA</w:t>
      </w:r>
    </w:p>
    <w:p>
      <w:pPr>
        <w:pStyle w:val="ListParagraph"/>
        <w:numPr>
          <w:ilvl w:val="0"/>
          <w:numId w:val="1"/>
        </w:numPr>
        <w:spacing w:after="80" w:before="80"/>
        <w:ind w:left="720" w:hanging="360"/>
      </w:pPr>
      <w:r>
        <w:rPr>
          <w:sz w:val="22"/>
          <w:szCs w:val="22"/>
        </w:rPr>
        <w:t xml:space="preserve">Diferencia = 1 condición → LIGERO SESGO ALCISTA / BAJISTA</w:t>
      </w:r>
    </w:p>
    <w:p>
      <w:pPr>
        <w:pStyle w:val="ListParagraph"/>
        <w:numPr>
          <w:ilvl w:val="0"/>
          <w:numId w:val="1"/>
        </w:numPr>
        <w:spacing w:after="80" w:before="80"/>
        <w:ind w:left="720" w:hanging="360"/>
      </w:pPr>
      <w:r>
        <w:rPr>
          <w:sz w:val="22"/>
          <w:szCs w:val="22"/>
        </w:rPr>
        <w:t xml:space="preserve">Empate con condiciones cumplidas → SEÑALES CONTRADICTORIAS</w:t>
      </w:r>
    </w:p>
    <w:p>
      <w:pPr>
        <w:pStyle w:val="ListParagraph"/>
        <w:numPr>
          <w:ilvl w:val="0"/>
          <w:numId w:val="1"/>
        </w:numPr>
        <w:spacing w:after="80" w:before="80"/>
        <w:ind w:left="720" w:hanging="360"/>
      </w:pPr>
      <w:r>
        <w:rPr>
          <w:sz w:val="22"/>
          <w:szCs w:val="22"/>
        </w:rPr>
        <w:t xml:space="preserve">Ninguna condición en extremo → SIN SESGO CLARO</w:t>
      </w:r>
    </w:p>
    <w:p>
      <w:pPr>
        <w:spacing w:after="120" w:before="120"/>
      </w:pPr>
      <w:r>
        <w:rPr>
          <w:sz w:val="22"/>
          <w:szCs w:val="22"/>
        </w:rPr>
        <w:t xml:space="preserve">Todos los umbrales son ajustables en la función evaluar_condiciones() de analisis.py sin tocar la interfaz.</w:t>
      </w:r>
    </w:p>
    <w:p>
      <w:pPr>
        <w:pBdr>
          <w:bottom w:val="single" w:color="CCCCCC" w:sz="6"/>
        </w:pBdr>
        <w:spacing w:after="200" w:before="200"/>
      </w:pPr>
    </w:p>
    <w:p>
      <w:pPr>
        <w:pStyle w:val="Heading1"/>
        <w:spacing w:after="200" w:before="400"/>
        <w:rPr>
          <w:b/>
          <w:bCs/>
          <w:color w:val="FF9E00"/>
          <w:sz w:val="32"/>
          <w:szCs w:val="32"/>
        </w:rPr>
      </w:pPr>
      <w:r>
        <w:t xml:space="preserve">6. Interfaz de usuario</w:t>
      </w:r>
    </w:p>
    <w:p>
      <w:pPr>
        <w:pStyle w:val="Heading2"/>
        <w:spacing w:after="160" w:before="300"/>
        <w:rPr>
          <w:b/>
          <w:bCs/>
          <w:color w:val="FF9E00"/>
          <w:sz w:val="26"/>
          <w:szCs w:val="26"/>
        </w:rPr>
      </w:pPr>
      <w:r>
        <w:t xml:space="preserve">Componentes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FF9E00" w:color="FF9E00" w:val="clear"/>
          </w:tcPr>
          <w:p>
            <w:r>
              <w:rPr>
                <w:b/>
                <w:bCs/>
                <w:color w:val="FFFFFF"/>
                <w:sz w:val="20"/>
                <w:szCs w:val="20"/>
              </w:rPr>
              <w:t xml:space="preserve">Componente</w:t>
            </w:r>
          </w:p>
        </w:tc>
        <w:tc>
          <w:tcPr>
            <w:tcW w:type="dxa" w:w="6560"/>
            <w:shd w:fill="FF9E00" w:color="FF9E00" w:val="clear"/>
          </w:tcPr>
          <w:p>
            <w:r>
              <w:rPr>
                <w:b/>
                <w:bCs/>
                <w:color w:val="FFFFFF"/>
                <w:sz w:val="20"/>
                <w:szCs w:val="20"/>
              </w:rPr>
              <w:t xml:space="preserve">Descripción</w:t>
            </w:r>
          </w:p>
        </w:tc>
      </w:tr>
      <w:tr>
        <w:tc>
          <w:tcPr>
            <w:tcW w:type="dxa" w:w="2800"/>
            <w:shd w:fill="FFFFFF" w:color="FFFFFF" w:val="clear"/>
          </w:tcPr>
          <w:p>
            <w:r>
              <w:rPr>
                <w:sz w:val="20"/>
                <w:szCs w:val="20"/>
              </w:rPr>
              <w:t xml:space="preserve">Buscador con autocompletado</w:t>
            </w:r>
          </w:p>
        </w:tc>
        <w:tc>
          <w:tcPr>
            <w:tcW w:type="dxa" w:w="6560"/>
            <w:shd w:fill="FFFFFF" w:color="FFFFFF" w:val="clear"/>
          </w:tcPr>
          <w:p>
            <w:r>
              <w:rPr>
                <w:sz w:val="20"/>
                <w:szCs w:val="20"/>
              </w:rPr>
              <w:t xml:space="preserve">Consulta el endpoint /v1/finance/search de Yahoo Finance. Devuelve símbolo, nombre y bolsa. Los resultados se cachean 1 hora para no saturar la API.</w:t>
            </w:r>
          </w:p>
        </w:tc>
      </w:tr>
      <w:tr>
        <w:tc>
          <w:tcPr>
            <w:tcW w:type="dxa" w:w="2800"/>
            <w:shd w:fill="FFFBF0" w:color="FFFBF0" w:val="clear"/>
          </w:tcPr>
          <w:p>
            <w:r>
              <w:rPr>
                <w:sz w:val="20"/>
                <w:szCs w:val="20"/>
              </w:rPr>
              <w:t xml:space="preserve">Presets de rango de strikes</w:t>
            </w:r>
          </w:p>
        </w:tc>
        <w:tc>
          <w:tcPr>
            <w:tcW w:type="dxa" w:w="6560"/>
            <w:shd w:fill="FFFBF0" w:color="FFFBF0" w:val="clear"/>
          </w:tcPr>
          <w:p>
            <w:r>
              <w:rPr>
                <w:sz w:val="20"/>
                <w:szCs w:val="20"/>
              </w:rPr>
              <w:t xml:space="preserve">4 botones (Estrecho 90-110%, Normal 75-125%, Amplio 50-150%, Todo 20-250%) más slider manual. El preset activo muestra una explicación de cuándo usarlo.</w:t>
            </w:r>
          </w:p>
        </w:tc>
      </w:tr>
      <w:tr>
        <w:tc>
          <w:tcPr>
            <w:tcW w:type="dxa" w:w="2800"/>
            <w:shd w:fill="FFFFFF" w:color="FFFFFF" w:val="clear"/>
          </w:tcPr>
          <w:p>
            <w:r>
              <w:rPr>
                <w:sz w:val="20"/>
                <w:szCs w:val="20"/>
              </w:rPr>
              <w:t xml:space="preserve">Superficie 3D</w:t>
            </w:r>
          </w:p>
        </w:tc>
        <w:tc>
          <w:tcPr>
            <w:tcW w:type="dxa" w:w="6560"/>
            <w:shd w:fill="FFFFFF" w:color="FFFFFF" w:val="clear"/>
          </w:tcPr>
          <w:p>
            <w:r>
              <w:rPr>
                <w:sz w:val="20"/>
                <w:szCs w:val="20"/>
              </w:rPr>
              <w:t xml:space="preserve">go.Surface de Plotly para la malla interpolada. go.Scatter3d para líneas por vencimiento (paleta de 12 colores) y para el plano del precio actual. Cada capa es activable/desactivable.</w:t>
            </w:r>
          </w:p>
        </w:tc>
      </w:tr>
      <w:tr>
        <w:tc>
          <w:tcPr>
            <w:tcW w:type="dxa" w:w="2800"/>
            <w:shd w:fill="FFFBF0" w:color="FFFBF0" w:val="clear"/>
          </w:tcPr>
          <w:p>
            <w:r>
              <w:rPr>
                <w:sz w:val="20"/>
                <w:szCs w:val="20"/>
              </w:rPr>
              <w:t xml:space="preserve">Panel de métricas</w:t>
            </w:r>
          </w:p>
        </w:tc>
        <w:tc>
          <w:tcPr>
            <w:tcW w:type="dxa" w:w="6560"/>
            <w:shd w:fill="FFFBF0" w:color="FFFBF0" w:val="clear"/>
          </w:tcPr>
          <w:p>
            <w:r>
              <w:rPr>
                <w:sz w:val="20"/>
                <w:szCs w:val="20"/>
              </w:rPr>
              <w:t xml:space="preserve">5 columnas con IV ATM, vol. realizada 30d, PCR volumen, skew y movimiento esperado por el straddle.</w:t>
            </w:r>
          </w:p>
        </w:tc>
      </w:tr>
      <w:tr>
        <w:tc>
          <w:tcPr>
            <w:tcW w:type="dxa" w:w="2800"/>
            <w:shd w:fill="FFFFFF" w:color="FFFFFF" w:val="clear"/>
          </w:tcPr>
          <w:p>
            <w:r>
              <w:rPr>
                <w:sz w:val="20"/>
                <w:szCs w:val="20"/>
              </w:rPr>
              <w:t xml:space="preserve">Motor de sentimiento</w:t>
            </w:r>
          </w:p>
        </w:tc>
        <w:tc>
          <w:tcPr>
            <w:tcW w:type="dxa" w:w="6560"/>
            <w:shd w:fill="FFFFFF" w:color="FFFFFF" w:val="clear"/>
          </w:tcPr>
          <w:p>
            <w:r>
              <w:rPr>
                <w:sz w:val="20"/>
                <w:szCs w:val="20"/>
              </w:rPr>
              <w:t xml:space="preserve">Dos cajas de color (verde alcista, rojo bajista, gris neutral) para corto y medio plazo, con desglose expandible de cada condición.</w:t>
            </w:r>
          </w:p>
        </w:tc>
      </w:tr>
      <w:tr>
        <w:tc>
          <w:tcPr>
            <w:tcW w:type="dxa" w:w="2800"/>
            <w:shd w:fill="FFFBF0" w:color="FFFBF0" w:val="clear"/>
          </w:tcPr>
          <w:p>
            <w:r>
              <w:rPr>
                <w:sz w:val="20"/>
                <w:szCs w:val="20"/>
              </w:rPr>
              <w:t xml:space="preserve">Curva de probabilidad</w:t>
            </w:r>
          </w:p>
        </w:tc>
        <w:tc>
          <w:tcPr>
            <w:tcW w:type="dxa" w:w="6560"/>
            <w:shd w:fill="FFFBF0" w:color="FFFBF0" w:val="clear"/>
          </w:tcPr>
          <w:p>
            <w:r>
              <w:rPr>
                <w:sz w:val="20"/>
                <w:szCs w:val="20"/>
              </w:rPr>
              <w:t xml:space="preserve">go.Scatter 2D con N(d2) por strike. Línea blanca vertical en el spot, franja naranja para zona del 68%, métricas de rango probable.</w:t>
            </w:r>
          </w:p>
        </w:tc>
      </w:tr>
      <w:tr>
        <w:tc>
          <w:tcPr>
            <w:tcW w:type="dxa" w:w="2800"/>
            <w:shd w:fill="FFFFFF" w:color="FFFFFF" w:val="clear"/>
          </w:tcPr>
          <w:p>
            <w:r>
              <w:rPr>
                <w:sz w:val="20"/>
                <w:szCs w:val="20"/>
              </w:rPr>
              <w:t xml:space="preserve">Strikes clave</w:t>
            </w:r>
          </w:p>
        </w:tc>
        <w:tc>
          <w:tcPr>
            <w:tcW w:type="dxa" w:w="6560"/>
            <w:shd w:fill="FFFFFF" w:color="FFFFFF" w:val="clear"/>
          </w:tcPr>
          <w:p>
            <w:r>
              <w:rPr>
                <w:sz w:val="20"/>
                <w:szCs w:val="20"/>
              </w:rPr>
              <w:t xml:space="preserve">Top 4 por OI en calls y puts, con distancia porcentual al spot.</w:t>
            </w:r>
          </w:p>
        </w:tc>
      </w:tr>
      <w:tr>
        <w:tc>
          <w:tcPr>
            <w:tcW w:type="dxa" w:w="2800"/>
            <w:shd w:fill="FFFBF0" w:color="FFFBF0" w:val="clear"/>
          </w:tcPr>
          <w:p>
            <w:r>
              <w:rPr>
                <w:sz w:val="20"/>
                <w:szCs w:val="20"/>
              </w:rPr>
              <w:t xml:space="preserve">Tabla straddle</w:t>
            </w:r>
          </w:p>
        </w:tc>
        <w:tc>
          <w:tcPr>
            <w:tcW w:type="dxa" w:w="6560"/>
            <w:shd w:fill="FFFBF0" w:color="FFFBF0" w:val="clear"/>
          </w:tcPr>
          <w:p>
            <w:r>
              <w:rPr>
                <w:sz w:val="20"/>
                <w:szCs w:val="20"/>
              </w:rPr>
              <w:t xml:space="preserve">st.dataframe con formato calls | STRIKE | puts.</w:t>
            </w:r>
          </w:p>
        </w:tc>
      </w:tr>
    </w:tbl>
    <w:p>
      <w:pPr>
        <w:pBdr>
          <w:bottom w:val="single" w:color="CCCCCC" w:sz="6"/>
        </w:pBdr>
        <w:spacing w:after="200" w:before="200"/>
      </w:pPr>
    </w:p>
    <w:p>
      <w:pPr>
        <w:pStyle w:val="Heading1"/>
        <w:spacing w:after="200" w:before="400"/>
        <w:rPr>
          <w:b/>
          <w:bCs/>
          <w:color w:val="FF9E00"/>
          <w:sz w:val="32"/>
          <w:szCs w:val="32"/>
        </w:rPr>
      </w:pPr>
      <w:r>
        <w:t xml:space="preserve">7. Dependencias y tecnologías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FF9E00" w:color="FF9E00" w:val="clear"/>
          </w:tcPr>
          <w:p>
            <w:r>
              <w:rPr>
                <w:b/>
                <w:bCs/>
                <w:color w:val="FFFFFF"/>
                <w:sz w:val="20"/>
                <w:szCs w:val="20"/>
              </w:rPr>
              <w:t xml:space="preserve">Librería</w:t>
            </w:r>
          </w:p>
        </w:tc>
        <w:tc>
          <w:tcPr>
            <w:tcW w:type="dxa" w:w="1800"/>
            <w:shd w:fill="FF9E00" w:color="FF9E00" w:val="clear"/>
          </w:tcPr>
          <w:p>
            <w:r>
              <w:rPr>
                <w:b/>
                <w:bCs/>
                <w:color w:val="FFFFFF"/>
                <w:sz w:val="20"/>
                <w:szCs w:val="20"/>
              </w:rPr>
              <w:t xml:space="preserve">Versión mínima</w:t>
            </w:r>
          </w:p>
        </w:tc>
        <w:tc>
          <w:tcPr>
            <w:tcW w:type="dxa" w:w="5360"/>
            <w:shd w:fill="FF9E00" w:color="FF9E00" w:val="clear"/>
          </w:tcPr>
          <w:p>
            <w:r>
              <w:rPr>
                <w:b/>
                <w:bCs/>
                <w:color w:val="FFFFFF"/>
                <w:sz w:val="20"/>
                <w:szCs w:val="20"/>
              </w:rPr>
              <w:t xml:space="preserve">Para qué se usa</w:t>
            </w:r>
          </w:p>
        </w:tc>
      </w:tr>
      <w:tr>
        <w:tc>
          <w:tcPr>
            <w:tcW w:type="dxa" w:w="2200"/>
            <w:shd w:fill="FFFFFF" w:color="FFFFFF" w:val="clear"/>
          </w:tcPr>
          <w:p>
            <w:r>
              <w:rPr>
                <w:sz w:val="20"/>
                <w:szCs w:val="20"/>
              </w:rPr>
              <w:t xml:space="preserve">streamlit</w:t>
            </w:r>
          </w:p>
        </w:tc>
        <w:tc>
          <w:tcPr>
            <w:tcW w:type="dxa" w:w="1800"/>
            <w:shd w:fill="FFFFFF" w:color="FFFFFF" w:val="clear"/>
          </w:tcPr>
          <w:p>
            <w:r>
              <w:rPr>
                <w:sz w:val="20"/>
                <w:szCs w:val="20"/>
              </w:rPr>
              <w:t xml:space="preserve">1.35</w:t>
            </w:r>
          </w:p>
        </w:tc>
        <w:tc>
          <w:tcPr>
            <w:tcW w:type="dxa" w:w="5360"/>
            <w:shd w:fill="FFFFFF" w:color="FFFFFF" w:val="clear"/>
          </w:tcPr>
          <w:p>
            <w:r>
              <w:rPr>
                <w:sz w:val="20"/>
                <w:szCs w:val="20"/>
              </w:rPr>
              <w:t xml:space="preserve">Framework web: interfaz, controles, layout, caché de datos</w:t>
            </w:r>
          </w:p>
        </w:tc>
      </w:tr>
      <w:tr>
        <w:tc>
          <w:tcPr>
            <w:tcW w:type="dxa" w:w="2200"/>
            <w:shd w:fill="FFFBF0" w:color="FFFBF0" w:val="clear"/>
          </w:tcPr>
          <w:p>
            <w:r>
              <w:rPr>
                <w:sz w:val="20"/>
                <w:szCs w:val="20"/>
              </w:rPr>
              <w:t xml:space="preserve">yfinance</w:t>
            </w:r>
          </w:p>
        </w:tc>
        <w:tc>
          <w:tcPr>
            <w:tcW w:type="dxa" w:w="1800"/>
            <w:shd w:fill="FFFBF0" w:color="FFFBF0" w:val="clear"/>
          </w:tcPr>
          <w:p>
            <w:r>
              <w:rPr>
                <w:sz w:val="20"/>
                <w:szCs w:val="20"/>
              </w:rPr>
              <w:t xml:space="preserve">0.2</w:t>
            </w:r>
          </w:p>
        </w:tc>
        <w:tc>
          <w:tcPr>
            <w:tcW w:type="dxa" w:w="5360"/>
            <w:shd w:fill="FFFBF0" w:color="FFFBF0" w:val="clear"/>
          </w:tcPr>
          <w:p>
            <w:r>
              <w:rPr>
                <w:sz w:val="20"/>
                <w:szCs w:val="20"/>
              </w:rPr>
              <w:t xml:space="preserve">Descarga de cadenas de opciones e históricos de precio desde Yahoo Finance</w:t>
            </w:r>
          </w:p>
        </w:tc>
      </w:tr>
      <w:tr>
        <w:tc>
          <w:tcPr>
            <w:tcW w:type="dxa" w:w="2200"/>
            <w:shd w:fill="FFFFFF" w:color="FFFFFF" w:val="clear"/>
          </w:tcPr>
          <w:p>
            <w:r>
              <w:rPr>
                <w:sz w:val="20"/>
                <w:szCs w:val="20"/>
              </w:rPr>
              <w:t xml:space="preserve">plotly</w:t>
            </w:r>
          </w:p>
        </w:tc>
        <w:tc>
          <w:tcPr>
            <w:tcW w:type="dxa" w:w="1800"/>
            <w:shd w:fill="FFFFFF" w:color="FFFFFF" w:val="clear"/>
          </w:tcPr>
          <w:p>
            <w:r>
              <w:rPr>
                <w:sz w:val="20"/>
                <w:szCs w:val="20"/>
              </w:rPr>
              <w:t xml:space="preserve">5.0</w:t>
            </w:r>
          </w:p>
        </w:tc>
        <w:tc>
          <w:tcPr>
            <w:tcW w:type="dxa" w:w="5360"/>
            <w:shd w:fill="FFFFFF" w:color="FFFFFF" w:val="clear"/>
          </w:tcPr>
          <w:p>
            <w:r>
              <w:rPr>
                <w:sz w:val="20"/>
                <w:szCs w:val="20"/>
              </w:rPr>
              <w:t xml:space="preserve">Gráfico 3D interactivo (Surface, Scatter3d) y curva de probabilidad 2D</w:t>
            </w:r>
          </w:p>
        </w:tc>
      </w:tr>
      <w:tr>
        <w:tc>
          <w:tcPr>
            <w:tcW w:type="dxa" w:w="2200"/>
            <w:shd w:fill="FFFBF0" w:color="FFFBF0" w:val="clear"/>
          </w:tcPr>
          <w:p>
            <w:r>
              <w:rPr>
                <w:sz w:val="20"/>
                <w:szCs w:val="20"/>
              </w:rPr>
              <w:t xml:space="preserve">scipy</w:t>
            </w:r>
          </w:p>
        </w:tc>
        <w:tc>
          <w:tcPr>
            <w:tcW w:type="dxa" w:w="1800"/>
            <w:shd w:fill="FFFBF0" w:color="FFFBF0" w:val="clear"/>
          </w:tcPr>
          <w:p>
            <w:r>
              <w:rPr>
                <w:sz w:val="20"/>
                <w:szCs w:val="20"/>
              </w:rPr>
              <w:t xml:space="preserve">1.11</w:t>
            </w:r>
          </w:p>
        </w:tc>
        <w:tc>
          <w:tcPr>
            <w:tcW w:type="dxa" w:w="5360"/>
            <w:shd w:fill="FFFBF0" w:color="FFFBF0" w:val="clear"/>
          </w:tcPr>
          <w:p>
            <w:r>
              <w:rPr>
                <w:sz w:val="20"/>
                <w:szCs w:val="20"/>
              </w:rPr>
              <w:t xml:space="preserve">griddata para interpolación de la superficie; norm para Black-Scholes</w:t>
            </w:r>
          </w:p>
        </w:tc>
      </w:tr>
      <w:tr>
        <w:tc>
          <w:tcPr>
            <w:tcW w:type="dxa" w:w="2200"/>
            <w:shd w:fill="FFFFFF" w:color="FFFFFF" w:val="clear"/>
          </w:tcPr>
          <w:p>
            <w:r>
              <w:rPr>
                <w:sz w:val="20"/>
                <w:szCs w:val="20"/>
              </w:rPr>
              <w:t xml:space="preserve">pandas</w:t>
            </w:r>
          </w:p>
        </w:tc>
        <w:tc>
          <w:tcPr>
            <w:tcW w:type="dxa" w:w="1800"/>
            <w:shd w:fill="FFFFFF" w:color="FFFFFF" w:val="clear"/>
          </w:tcPr>
          <w:p>
            <w:r>
              <w:rPr>
                <w:sz w:val="20"/>
                <w:szCs w:val="20"/>
              </w:rPr>
              <w:t xml:space="preserve">2.0</w:t>
            </w:r>
          </w:p>
        </w:tc>
        <w:tc>
          <w:tcPr>
            <w:tcW w:type="dxa" w:w="5360"/>
            <w:shd w:fill="FFFFFF" w:color="FFFFFF" w:val="clear"/>
          </w:tcPr>
          <w:p>
            <w:r>
              <w:rPr>
                <w:sz w:val="20"/>
                <w:szCs w:val="20"/>
              </w:rPr>
              <w:t xml:space="preserve">Manipulación de DataFrames de opciones</w:t>
            </w:r>
          </w:p>
        </w:tc>
      </w:tr>
      <w:tr>
        <w:tc>
          <w:tcPr>
            <w:tcW w:type="dxa" w:w="2200"/>
            <w:shd w:fill="FFFBF0" w:color="FFFBF0" w:val="clear"/>
          </w:tcPr>
          <w:p>
            <w:r>
              <w:rPr>
                <w:sz w:val="20"/>
                <w:szCs w:val="20"/>
              </w:rPr>
              <w:t xml:space="preserve">numpy</w:t>
            </w:r>
          </w:p>
        </w:tc>
        <w:tc>
          <w:tcPr>
            <w:tcW w:type="dxa" w:w="1800"/>
            <w:shd w:fill="FFFBF0" w:color="FFFBF0" w:val="clear"/>
          </w:tcPr>
          <w:p>
            <w:r>
              <w:rPr>
                <w:sz w:val="20"/>
                <w:szCs w:val="20"/>
              </w:rPr>
              <w:t xml:space="preserve">1.24</w:t>
            </w:r>
          </w:p>
        </w:tc>
        <w:tc>
          <w:tcPr>
            <w:tcW w:type="dxa" w:w="5360"/>
            <w:shd w:fill="FFFBF0" w:color="FFFBF0" w:val="clear"/>
          </w:tcPr>
          <w:p>
            <w:r>
              <w:rPr>
                <w:sz w:val="20"/>
                <w:szCs w:val="20"/>
              </w:rPr>
              <w:t xml:space="preserve">Álgebra lineal, logaritmos, raíces cuadradas para las fórmulas</w:t>
            </w:r>
          </w:p>
        </w:tc>
      </w:tr>
      <w:tr>
        <w:tc>
          <w:tcPr>
            <w:tcW w:type="dxa" w:w="2200"/>
            <w:shd w:fill="FFFFFF" w:color="FFFFFF" w:val="clear"/>
          </w:tcPr>
          <w:p>
            <w:r>
              <w:rPr>
                <w:sz w:val="20"/>
                <w:szCs w:val="20"/>
              </w:rPr>
              <w:t xml:space="preserve">requests</w:t>
            </w:r>
          </w:p>
        </w:tc>
        <w:tc>
          <w:tcPr>
            <w:tcW w:type="dxa" w:w="1800"/>
            <w:shd w:fill="FFFFFF" w:color="FFFFFF" w:val="clear"/>
          </w:tcPr>
          <w:p>
            <w:r>
              <w:rPr>
                <w:sz w:val="20"/>
                <w:szCs w:val="20"/>
              </w:rPr>
              <w:t xml:space="preserve">2.31</w:t>
            </w:r>
          </w:p>
        </w:tc>
        <w:tc>
          <w:tcPr>
            <w:tcW w:type="dxa" w:w="5360"/>
            <w:shd w:fill="FFFFFF" w:color="FFFFFF" w:val="clear"/>
          </w:tcPr>
          <w:p>
            <w:r>
              <w:rPr>
                <w:sz w:val="20"/>
                <w:szCs w:val="20"/>
              </w:rPr>
              <w:t xml:space="preserve">Llamadas HTTP al buscador de Yahoo Finance</w:t>
            </w:r>
          </w:p>
        </w:tc>
      </w:tr>
    </w:tbl>
    <w:p>
      <w:pPr>
        <w:pBdr>
          <w:bottom w:val="single" w:color="CCCCCC" w:sz="6"/>
        </w:pBdr>
        <w:spacing w:after="200" w:before="200"/>
      </w:pPr>
    </w:p>
    <w:p>
      <w:pPr>
        <w:pStyle w:val="Heading1"/>
        <w:spacing w:after="200" w:before="400"/>
        <w:rPr>
          <w:b/>
          <w:bCs/>
          <w:color w:val="FF9E00"/>
          <w:sz w:val="32"/>
          <w:szCs w:val="32"/>
        </w:rPr>
      </w:pPr>
      <w:r>
        <w:t xml:space="preserve">8. Limitaciones conocidas</w:t>
      </w:r>
    </w:p>
    <w:p>
      <w:pPr>
        <w:pStyle w:val="ListParagraph"/>
        <w:numPr>
          <w:ilvl w:val="0"/>
          <w:numId w:val="1"/>
        </w:numPr>
        <w:spacing w:after="80" w:before="80"/>
        <w:ind w:left="720" w:hanging="360"/>
      </w:pPr>
      <w:r>
        <w:rPr>
          <w:sz w:val="22"/>
          <w:szCs w:val="22"/>
        </w:rPr>
        <w:t xml:space="preserve">Retraso de datos: Yahoo Finance no ofrece datos de opciones en tiempo real de forma gratuita. El retraso típico es de 15-20 minutos. Para datos en vivo se necesitaría un proveedor de pago (Polygon.io, ThetaData, o la API del broker).</w:t>
      </w:r>
    </w:p>
    <w:p>
      <w:pPr>
        <w:pStyle w:val="ListParagraph"/>
        <w:numPr>
          <w:ilvl w:val="0"/>
          <w:numId w:val="1"/>
        </w:numPr>
        <w:spacing w:after="80" w:before="80"/>
        <w:ind w:left="720" w:hanging="360"/>
      </w:pPr>
      <w:r>
        <w:rPr>
          <w:sz w:val="22"/>
          <w:szCs w:val="22"/>
        </w:rPr>
        <w:t xml:space="preserve">XAUUSD sin opciones en Yahoo: el oro spot no tiene cadena de opciones en Yahoo Finance. Alternativas: GLD (ETF de oro, opciones muy líquidas) o GC=F (futuro del oro).</w:t>
      </w:r>
    </w:p>
    <w:p>
      <w:pPr>
        <w:pStyle w:val="ListParagraph"/>
        <w:numPr>
          <w:ilvl w:val="0"/>
          <w:numId w:val="1"/>
        </w:numPr>
        <w:spacing w:after="80" w:before="80"/>
        <w:ind w:left="720" w:hanging="360"/>
      </w:pPr>
      <w:r>
        <w:rPr>
          <w:sz w:val="22"/>
          <w:szCs w:val="22"/>
        </w:rPr>
        <w:t xml:space="preserve">Black-Scholes asume subyacente lognormal con volatilidad constante: en la realidad la volatilidad cambia (es el motivo de que exista la superficie), por lo que la probabilidad implícita calculada es una aproximación, no una probabilidad exacta.</w:t>
      </w:r>
    </w:p>
    <w:p>
      <w:pPr>
        <w:pStyle w:val="ListParagraph"/>
        <w:numPr>
          <w:ilvl w:val="0"/>
          <w:numId w:val="1"/>
        </w:numPr>
        <w:spacing w:after="80" w:before="80"/>
        <w:ind w:left="720" w:hanging="360"/>
      </w:pPr>
      <w:r>
        <w:rPr>
          <w:sz w:val="22"/>
          <w:szCs w:val="22"/>
        </w:rPr>
        <w:t xml:space="preserve">Probabilidad neutral al riesgo ≠ probabilidad real: N(d2) incorpora la prima de riesgo del mercado, sobreestimando la probabilidad de caídas en activos de renta variable.</w:t>
      </w:r>
    </w:p>
    <w:p>
      <w:pPr>
        <w:pStyle w:val="ListParagraph"/>
        <w:numPr>
          <w:ilvl w:val="0"/>
          <w:numId w:val="1"/>
        </w:numPr>
        <w:spacing w:after="80" w:before="80"/>
        <w:ind w:left="720" w:hanging="360"/>
      </w:pPr>
      <w:r>
        <w:rPr>
          <w:sz w:val="22"/>
          <w:szCs w:val="22"/>
        </w:rPr>
        <w:t xml:space="preserve">El motor de condiciones es descriptivo: mide el posicionamiento actual del mercado de opciones, no predice la dirección futura del precio.</w:t>
      </w:r>
    </w:p>
    <w:p>
      <w:pPr>
        <w:pStyle w:val="ListParagraph"/>
        <w:numPr>
          <w:ilvl w:val="0"/>
          <w:numId w:val="1"/>
        </w:numPr>
        <w:spacing w:after="80" w:before="80"/>
        <w:ind w:left="720" w:hanging="360"/>
      </w:pPr>
      <w:r>
        <w:rPr>
          <w:sz w:val="22"/>
          <w:szCs w:val="22"/>
        </w:rPr>
        <w:t xml:space="preserve">No es asesoramiento financiero: es una herramienta de análisis informativo.</w:t>
      </w:r>
    </w:p>
    <w:p>
      <w:pPr>
        <w:pBdr>
          <w:bottom w:val="single" w:color="CCCCCC" w:sz="6"/>
        </w:pBdr>
        <w:spacing w:after="200" w:before="200"/>
      </w:pPr>
    </w:p>
    <w:p>
      <w:pPr>
        <w:pStyle w:val="Heading1"/>
        <w:spacing w:after="200" w:before="400"/>
        <w:rPr>
          <w:b/>
          <w:bCs/>
          <w:color w:val="FF9E00"/>
          <w:sz w:val="32"/>
          <w:szCs w:val="32"/>
        </w:rPr>
      </w:pPr>
      <w:r>
        <w:t xml:space="preserve">9.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FF9E00" w:color="FF9E00" w:val="clear"/>
          </w:tcPr>
          <w:p>
            <w:r>
              <w:rPr>
                <w:b/>
                <w:bCs/>
                <w:color w:val="FFFFFF"/>
                <w:sz w:val="20"/>
                <w:szCs w:val="20"/>
              </w:rPr>
              <w:t xml:space="preserve">Término</w:t>
            </w:r>
          </w:p>
        </w:tc>
        <w:tc>
          <w:tcPr>
            <w:tcW w:type="dxa" w:w="6760"/>
            <w:shd w:fill="FF9E00" w:color="FF9E00" w:val="clear"/>
          </w:tcPr>
          <w:p>
            <w:r>
              <w:rPr>
                <w:b/>
                <w:bCs/>
                <w:color w:val="FFFFFF"/>
                <w:sz w:val="20"/>
                <w:szCs w:val="20"/>
              </w:rPr>
              <w:t xml:space="preserve">Definición</w:t>
            </w:r>
          </w:p>
        </w:tc>
      </w:tr>
      <w:tr>
        <w:tc>
          <w:tcPr>
            <w:tcW w:type="dxa" w:w="2600"/>
            <w:shd w:fill="FFFFFF" w:color="FFFFFF" w:val="clear"/>
          </w:tcPr>
          <w:p>
            <w:r>
              <w:rPr>
                <w:sz w:val="20"/>
                <w:szCs w:val="20"/>
              </w:rPr>
              <w:t xml:space="preserve">ATM (At The Money)</w:t>
            </w:r>
          </w:p>
        </w:tc>
        <w:tc>
          <w:tcPr>
            <w:tcW w:type="dxa" w:w="6760"/>
            <w:shd w:fill="FFFFFF" w:color="FFFFFF" w:val="clear"/>
          </w:tcPr>
          <w:p>
            <w:r>
              <w:rPr>
                <w:sz w:val="20"/>
                <w:szCs w:val="20"/>
              </w:rPr>
              <w:t xml:space="preserve">Opción cuyo strike es igual o muy cercano al precio actual del subyacente</w:t>
            </w:r>
          </w:p>
        </w:tc>
      </w:tr>
      <w:tr>
        <w:tc>
          <w:tcPr>
            <w:tcW w:type="dxa" w:w="2600"/>
            <w:shd w:fill="FFFBF0" w:color="FFFBF0" w:val="clear"/>
          </w:tcPr>
          <w:p>
            <w:r>
              <w:rPr>
                <w:sz w:val="20"/>
                <w:szCs w:val="20"/>
              </w:rPr>
              <w:t xml:space="preserve">ITM (In The Money)</w:t>
            </w:r>
          </w:p>
        </w:tc>
        <w:tc>
          <w:tcPr>
            <w:tcW w:type="dxa" w:w="6760"/>
            <w:shd w:fill="FFFBF0" w:color="FFFBF0" w:val="clear"/>
          </w:tcPr>
          <w:p>
            <w:r>
              <w:rPr>
                <w:sz w:val="20"/>
                <w:szCs w:val="20"/>
              </w:rPr>
              <w:t xml:space="preserve">Call con strike &lt; spot, o put con strike &gt; spot. Tiene valor intrínseco positivo</w:t>
            </w:r>
          </w:p>
        </w:tc>
      </w:tr>
      <w:tr>
        <w:tc>
          <w:tcPr>
            <w:tcW w:type="dxa" w:w="2600"/>
            <w:shd w:fill="FFFFFF" w:color="FFFFFF" w:val="clear"/>
          </w:tcPr>
          <w:p>
            <w:r>
              <w:rPr>
                <w:sz w:val="20"/>
                <w:szCs w:val="20"/>
              </w:rPr>
              <w:t xml:space="preserve">OTM (Out of The Money)</w:t>
            </w:r>
          </w:p>
        </w:tc>
        <w:tc>
          <w:tcPr>
            <w:tcW w:type="dxa" w:w="6760"/>
            <w:shd w:fill="FFFFFF" w:color="FFFFFF" w:val="clear"/>
          </w:tcPr>
          <w:p>
            <w:r>
              <w:rPr>
                <w:sz w:val="20"/>
                <w:szCs w:val="20"/>
              </w:rPr>
              <w:t xml:space="preserve">Call con strike &gt; spot, o put con strike &lt; spot. Solo tiene valor temporal</w:t>
            </w:r>
          </w:p>
        </w:tc>
      </w:tr>
      <w:tr>
        <w:tc>
          <w:tcPr>
            <w:tcW w:type="dxa" w:w="2600"/>
            <w:shd w:fill="FFFBF0" w:color="FFFBF0" w:val="clear"/>
          </w:tcPr>
          <w:p>
            <w:r>
              <w:rPr>
                <w:sz w:val="20"/>
                <w:szCs w:val="20"/>
              </w:rPr>
              <w:t xml:space="preserve">Strike</w:t>
            </w:r>
          </w:p>
        </w:tc>
        <w:tc>
          <w:tcPr>
            <w:tcW w:type="dxa" w:w="6760"/>
            <w:shd w:fill="FFFBF0" w:color="FFFBF0" w:val="clear"/>
          </w:tcPr>
          <w:p>
            <w:r>
              <w:rPr>
                <w:sz w:val="20"/>
                <w:szCs w:val="20"/>
              </w:rPr>
              <w:t xml:space="preserve">Precio de ejercicio de la opción. Al que se puede comprar (call) o vender (put) el subyacente</w:t>
            </w:r>
          </w:p>
        </w:tc>
      </w:tr>
      <w:tr>
        <w:tc>
          <w:tcPr>
            <w:tcW w:type="dxa" w:w="2600"/>
            <w:shd w:fill="FFFFFF" w:color="FFFFFF" w:val="clear"/>
          </w:tcPr>
          <w:p>
            <w:r>
              <w:rPr>
                <w:sz w:val="20"/>
                <w:szCs w:val="20"/>
              </w:rPr>
              <w:t xml:space="preserve">Vencimiento</w:t>
            </w:r>
          </w:p>
        </w:tc>
        <w:tc>
          <w:tcPr>
            <w:tcW w:type="dxa" w:w="6760"/>
            <w:shd w:fill="FFFFFF" w:color="FFFFFF" w:val="clear"/>
          </w:tcPr>
          <w:p>
            <w:r>
              <w:rPr>
                <w:sz w:val="20"/>
                <w:szCs w:val="20"/>
              </w:rPr>
              <w:t xml:space="preserve">Fecha en la que expira la opción. Tras esa fecha no tiene valor</w:t>
            </w:r>
          </w:p>
        </w:tc>
      </w:tr>
      <w:tr>
        <w:tc>
          <w:tcPr>
            <w:tcW w:type="dxa" w:w="2600"/>
            <w:shd w:fill="FFFBF0" w:color="FFFBF0" w:val="clear"/>
          </w:tcPr>
          <w:p>
            <w:r>
              <w:rPr>
                <w:sz w:val="20"/>
                <w:szCs w:val="20"/>
              </w:rPr>
              <w:t xml:space="preserve">Open Interest (OI)</w:t>
            </w:r>
          </w:p>
        </w:tc>
        <w:tc>
          <w:tcPr>
            <w:tcW w:type="dxa" w:w="6760"/>
            <w:shd w:fill="FFFBF0" w:color="FFFBF0" w:val="clear"/>
          </w:tcPr>
          <w:p>
            <w:r>
              <w:rPr>
                <w:sz w:val="20"/>
                <w:szCs w:val="20"/>
              </w:rPr>
              <w:t xml:space="preserve">Número de contratos abiertos (no cerrados ni ejercidos) en un strike/vencimiento concreto</w:t>
            </w:r>
          </w:p>
        </w:tc>
      </w:tr>
      <w:tr>
        <w:tc>
          <w:tcPr>
            <w:tcW w:type="dxa" w:w="2600"/>
            <w:shd w:fill="FFFFFF" w:color="FFFFFF" w:val="clear"/>
          </w:tcPr>
          <w:p>
            <w:r>
              <w:rPr>
                <w:sz w:val="20"/>
                <w:szCs w:val="20"/>
              </w:rPr>
              <w:t xml:space="preserve">Smile</w:t>
            </w:r>
          </w:p>
        </w:tc>
        <w:tc>
          <w:tcPr>
            <w:tcW w:type="dxa" w:w="6760"/>
            <w:shd w:fill="FFFFFF" w:color="FFFFFF" w:val="clear"/>
          </w:tcPr>
          <w:p>
            <w:r>
              <w:rPr>
                <w:sz w:val="20"/>
                <w:szCs w:val="20"/>
              </w:rPr>
              <w:t xml:space="preserve">Forma de la curva de IV donde los extremos de strike tienen mayor IV que el ATM</w:t>
            </w:r>
          </w:p>
        </w:tc>
      </w:tr>
      <w:tr>
        <w:tc>
          <w:tcPr>
            <w:tcW w:type="dxa" w:w="2600"/>
            <w:shd w:fill="FFFBF0" w:color="FFFBF0" w:val="clear"/>
          </w:tcPr>
          <w:p>
            <w:r>
              <w:rPr>
                <w:sz w:val="20"/>
                <w:szCs w:val="20"/>
              </w:rPr>
              <w:t xml:space="preserve">Skew / Smirk</w:t>
            </w:r>
          </w:p>
        </w:tc>
        <w:tc>
          <w:tcPr>
            <w:tcW w:type="dxa" w:w="6760"/>
            <w:shd w:fill="FFFBF0" w:color="FFFBF0" w:val="clear"/>
          </w:tcPr>
          <w:p>
            <w:r>
              <w:rPr>
                <w:sz w:val="20"/>
                <w:szCs w:val="20"/>
              </w:rPr>
              <w:t xml:space="preserve">Asimetría del smile: los puts OTM tienen IV mayor que los calls OTM del mismo grado</w:t>
            </w:r>
          </w:p>
        </w:tc>
      </w:tr>
      <w:tr>
        <w:tc>
          <w:tcPr>
            <w:tcW w:type="dxa" w:w="2600"/>
            <w:shd w:fill="FFFFFF" w:color="FFFFFF" w:val="clear"/>
          </w:tcPr>
          <w:p>
            <w:r>
              <w:rPr>
                <w:sz w:val="20"/>
                <w:szCs w:val="20"/>
              </w:rPr>
              <w:t xml:space="preserve">Backwardation</w:t>
            </w:r>
          </w:p>
        </w:tc>
        <w:tc>
          <w:tcPr>
            <w:tcW w:type="dxa" w:w="6760"/>
            <w:shd w:fill="FFFFFF" w:color="FFFFFF" w:val="clear"/>
          </w:tcPr>
          <w:p>
            <w:r>
              <w:rPr>
                <w:sz w:val="20"/>
                <w:szCs w:val="20"/>
              </w:rPr>
              <w:t xml:space="preserve">Estructura temporal invertida: el vencimiento cercano tiene mayor IV que el lejano</w:t>
            </w:r>
          </w:p>
        </w:tc>
      </w:tr>
      <w:tr>
        <w:tc>
          <w:tcPr>
            <w:tcW w:type="dxa" w:w="2600"/>
            <w:shd w:fill="FFFBF0" w:color="FFFBF0" w:val="clear"/>
          </w:tcPr>
          <w:p>
            <w:r>
              <w:rPr>
                <w:sz w:val="20"/>
                <w:szCs w:val="20"/>
              </w:rPr>
              <w:t xml:space="preserve">Contango</w:t>
            </w:r>
          </w:p>
        </w:tc>
        <w:tc>
          <w:tcPr>
            <w:tcW w:type="dxa" w:w="6760"/>
            <w:shd w:fill="FFFBF0" w:color="FFFBF0" w:val="clear"/>
          </w:tcPr>
          <w:p>
            <w:r>
              <w:rPr>
                <w:sz w:val="20"/>
                <w:szCs w:val="20"/>
              </w:rPr>
              <w:t xml:space="preserve">Estructura temporal normal: el vencimiento lejano tiene mayor IV que el cercano</w:t>
            </w:r>
          </w:p>
        </w:tc>
      </w:tr>
      <w:tr>
        <w:tc>
          <w:tcPr>
            <w:tcW w:type="dxa" w:w="2600"/>
            <w:shd w:fill="FFFFFF" w:color="FFFFFF" w:val="clear"/>
          </w:tcPr>
          <w:p>
            <w:r>
              <w:rPr>
                <w:sz w:val="20"/>
                <w:szCs w:val="20"/>
              </w:rPr>
              <w:t xml:space="preserve">Delta</w:t>
            </w:r>
          </w:p>
        </w:tc>
        <w:tc>
          <w:tcPr>
            <w:tcW w:type="dxa" w:w="6760"/>
            <w:shd w:fill="FFFFFF" w:color="FFFFFF" w:val="clear"/>
          </w:tcPr>
          <w:p>
            <w:r>
              <w:rPr>
                <w:sz w:val="20"/>
                <w:szCs w:val="20"/>
              </w:rPr>
              <w:t xml:space="preserve">Sensibilidad del precio de la opción respecto al precio del subyacente. Entre 0 y 1 para calls</w:t>
            </w:r>
          </w:p>
        </w:tc>
      </w:tr>
      <w:tr>
        <w:tc>
          <w:tcPr>
            <w:tcW w:type="dxa" w:w="2600"/>
            <w:shd w:fill="FFFBF0" w:color="FFFBF0" w:val="clear"/>
          </w:tcPr>
          <w:p>
            <w:r>
              <w:rPr>
                <w:sz w:val="20"/>
                <w:szCs w:val="20"/>
              </w:rPr>
              <w:t xml:space="preserve">Straddle</w:t>
            </w:r>
          </w:p>
        </w:tc>
        <w:tc>
          <w:tcPr>
            <w:tcW w:type="dxa" w:w="6760"/>
            <w:shd w:fill="FFFBF0" w:color="FFFBF0" w:val="clear"/>
          </w:tcPr>
          <w:p>
            <w:r>
              <w:rPr>
                <w:sz w:val="20"/>
                <w:szCs w:val="20"/>
              </w:rPr>
              <w:t xml:space="preserve">Compra simultánea de call y put del mismo strike y vencimiento. Beneficia de movimientos grandes en cualquier dirección</w:t>
            </w:r>
          </w:p>
        </w:tc>
      </w:tr>
      <w:tr>
        <w:tc>
          <w:tcPr>
            <w:tcW w:type="dxa" w:w="2600"/>
            <w:shd w:fill="FFFFFF" w:color="FFFFFF" w:val="clear"/>
          </w:tcPr>
          <w:p>
            <w:r>
              <w:rPr>
                <w:sz w:val="20"/>
                <w:szCs w:val="20"/>
              </w:rPr>
              <w:t xml:space="preserve">Max Pain</w:t>
            </w:r>
          </w:p>
        </w:tc>
        <w:tc>
          <w:tcPr>
            <w:tcW w:type="dxa" w:w="6760"/>
            <w:shd w:fill="FFFFFF" w:color="FFFFFF" w:val="clear"/>
          </w:tcPr>
          <w:p>
            <w:r>
              <w:rPr>
                <w:sz w:val="20"/>
                <w:szCs w:val="20"/>
              </w:rPr>
              <w:t xml:space="preserve">Strike donde el valor intrínseco total de las opciones abiertas es mínimo para los vendedores</w:t>
            </w:r>
          </w:p>
        </w:tc>
      </w:tr>
      <w:tr>
        <w:tc>
          <w:tcPr>
            <w:tcW w:type="dxa" w:w="2600"/>
            <w:shd w:fill="FFFBF0" w:color="FFFBF0" w:val="clear"/>
          </w:tcPr>
          <w:p>
            <w:r>
              <w:rPr>
                <w:sz w:val="20"/>
                <w:szCs w:val="20"/>
              </w:rPr>
              <w:t xml:space="preserve">Volatility Crush</w:t>
            </w:r>
          </w:p>
        </w:tc>
        <w:tc>
          <w:tcPr>
            <w:tcW w:type="dxa" w:w="6760"/>
            <w:shd w:fill="FFFBF0" w:color="FFFBF0" w:val="clear"/>
          </w:tcPr>
          <w:p>
            <w:r>
              <w:rPr>
                <w:sz w:val="20"/>
                <w:szCs w:val="20"/>
              </w:rPr>
              <w:t xml:space="preserve">Caída brusca de la IV tras un evento (resultados, dato macro) que elimina la incertidumbre</w:t>
            </w:r>
          </w:p>
        </w:tc>
      </w:tr>
      <w:tr>
        <w:tc>
          <w:tcPr>
            <w:tcW w:type="dxa" w:w="2600"/>
            <w:shd w:fill="FFFFFF" w:color="FFFFFF" w:val="clear"/>
          </w:tcPr>
          <w:p>
            <w:r>
              <w:rPr>
                <w:sz w:val="20"/>
                <w:szCs w:val="20"/>
              </w:rPr>
              <w:t xml:space="preserve">PCR</w:t>
            </w:r>
          </w:p>
        </w:tc>
        <w:tc>
          <w:tcPr>
            <w:tcW w:type="dxa" w:w="6760"/>
            <w:shd w:fill="FFFFFF" w:color="FFFFFF" w:val="clear"/>
          </w:tcPr>
          <w:p>
            <w:r>
              <w:rPr>
                <w:sz w:val="20"/>
                <w:szCs w:val="20"/>
              </w:rPr>
              <w:t xml:space="preserve">Put/Call Ratio. Ratio de actividad en puts respecto a calls, en volumen o en open interest</w:t>
            </w:r>
          </w:p>
        </w:tc>
      </w:tr>
    </w:tbl>
    <w:p>
      <w:r>
        <w:br w:type="page"/>
      </w:r>
    </w:p>
    <w:p>
      <w:pPr>
        <w:spacing w:before="200"/>
        <w:jc w:val="center"/>
      </w:pPr>
      <w:r>
        <w:rPr>
          <w:i/>
          <w:iCs/>
          <w:color w:val="888888"/>
          <w:sz w:val="18"/>
          <w:szCs w:val="18"/>
        </w:rPr>
        <w:t xml:space="preserve">Options Terminal — Documentación técnica — Julio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2026-07-26T11:25:01.945Z</dcterms:created>
  <dcterms:modified xsi:type="dcterms:W3CDTF">2026-07-26T11:25:01.959Z</dcterms:modified>
</cp:coreProperties>
</file>

<file path=docProps/custom.xml><?xml version="1.0" encoding="utf-8"?>
<Properties xmlns="http://schemas.openxmlformats.org/officeDocument/2006/custom-properties" xmlns:vt="http://schemas.openxmlformats.org/officeDocument/2006/docPropsVTypes"/>
</file>