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Times" w:hAnsi="Times" w:cs="Times"/>
          <w:sz w:val="36"/>
          <w:sz-cs w:val="36"/>
          <w:b/>
          <w:color w:val="1F3864"/>
        </w:rPr>
        <w:t xml:space="preserve">AWS Infrastructure Design</w:t>
      </w:r>
    </w:p>
    <w:p>
      <w:pPr>
        <w:jc w:val="center"/>
        <w:spacing w:after="160"/>
      </w:pPr>
      <w:r>
        <w:rPr>
          <w:rFonts w:ascii="Times" w:hAnsi="Times" w:cs="Times"/>
          <w:sz w:val="26"/>
          <w:sz-cs w:val="26"/>
          <w:i/>
          <w:color w:val="595959"/>
        </w:rPr>
        <w:t xml:space="preserve">Platform Engineer </w:t>
      </w:r>
    </w:p>
    <w:p>
      <w:pPr>
        <w:spacing w:after="100"/>
      </w:pPr>
      <w:r>
        <w:rPr>
          <w:rFonts w:ascii="Times" w:hAnsi="Times" w:cs="Times"/>
          <w:sz w:val="32"/>
          <w:sz-cs w:val="32"/>
        </w:rPr>
        <w:t xml:space="preserve">This document explains the thinking behind the architecture in Deliverable 1. The brief was a Java SaaS for enterprise insurance clients on AWS, run by a 3-engineer team. </w:t>
      </w:r>
    </w:p>
    <w:p>
      <w:pPr>
        <w:spacing w:after="100"/>
      </w:pPr>
      <w:r>
        <w:rPr>
          <w:rFonts w:ascii="Times" w:hAnsi="Times" w:cs="Times"/>
          <w:sz w:val="32"/>
          <w:sz-cs w:val="32"/>
        </w:rPr>
        <w:t xml:space="preserve"/>
      </w:r>
    </w:p>
    <w:p>
      <w:pPr/>
      <w:r>
        <w:rPr>
          <w:rFonts w:ascii="Times" w:hAnsi="Times" w:cs="Times"/>
          <w:sz w:val="36"/>
          <w:sz-cs w:val="36"/>
          <w:b/>
          <w:color w:val="011F67"/>
        </w:rPr>
        <w:t xml:space="preserve">Account and isolation</w:t>
      </w:r>
      <w:r>
        <w:rPr>
          <w:rFonts w:ascii="Times" w:hAnsi="Times" w:cs="Times"/>
          <w:sz w:val="32"/>
          <w:sz-cs w:val="32"/>
        </w:rPr>
        <w:t xml:space="preserve"/>
      </w:r>
    </w:p>
    <w:p>
      <w:pPr>
        <w:spacing w:after="100"/>
      </w:pPr>
      <w:r>
        <w:rPr>
          <w:rFonts w:ascii="Times" w:hAnsi="Times" w:cs="Times"/>
          <w:sz w:val="32"/>
          <w:sz-cs w:val="32"/>
        </w:rPr>
        <w:t xml:space="preserve">I would give every client their own AWS account, sitting under AWS Organizations with the usual Management, Security, and Shared Services accounts, plus a Production OU for clients and a Non-production OU for R&amp;D. The account boundary is the strongest isolation. AWS  IAM mistakes can't accidentally reach another tenant's data, per-account quotas stop one client from eating into another's capacity, and per-client cost attribution comes for free in Cost Explorer rather than relying on tags that always drift.</w:t>
      </w:r>
    </w:p>
    <w:p>
      <w:pPr>
        <w:spacing w:after="100"/>
      </w:pPr>
      <w:r>
        <w:rPr>
          <w:rFonts w:ascii="Times" w:hAnsi="Times" w:cs="Times"/>
          <w:sz w:val="32"/>
          <w:sz-cs w:val="32"/>
        </w:rPr>
        <w:t xml:space="preserve">The trade-off is real: more accounts means more places to apply more cross-account networking. Control Tower plus Account Factory for Terraform makes new accounts.</w:t>
      </w:r>
    </w:p>
    <w:p>
      <w:pPr>
        <w:spacing w:after="100"/>
      </w:pPr>
      <w:r>
        <w:rPr>
          <w:rFonts w:ascii="Times" w:hAnsi="Times" w:cs="Times"/>
          <w:sz w:val="32"/>
          <w:sz-cs w:val="32"/>
        </w:rPr>
        <w:t xml:space="preserve"/>
      </w:r>
    </w:p>
    <w:p>
      <w:pPr>
        <w:spacing w:after="100"/>
      </w:pPr>
      <w:r>
        <w:rPr>
          <w:rFonts w:ascii="Times" w:hAnsi="Times" w:cs="Times"/>
          <w:sz w:val="32"/>
          <w:sz-cs w:val="32"/>
        </w:rPr>
        <w:t xml:space="preserve">Inside that, isolation is layered: separate VPCs with non-overlapping CIDRs, separate EKS clusters per client (not a shared cluster with namespace tenancy — namespaces don't fully protect against kernel escapes or compromised cluster-admin), separate RDS with per-client KMS keys so an exfiltrated key can't decrypt another tenant's data, and Transit Gateway routing tables that explicitly don't allow one client VPC to reach another. </w:t>
      </w:r>
    </w:p>
    <w:p>
      <w:pPr>
        <w:spacing w:after="240"/>
      </w:pPr>
      <w:r>
        <w:rPr>
          <w:rFonts w:ascii="Times" w:hAnsi="Times" w:cs="Times"/>
          <w:sz w:val="36"/>
          <w:sz-cs w:val="36"/>
          <w:b/>
          <w:spacing w:val="0"/>
        </w:rPr>
        <w:t xml:space="preserve">Five layers of isolation:</w:t>
      </w:r>
      <w:r>
        <w:rPr>
          <w:rFonts w:ascii="Times" w:hAnsi="Times" w:cs="Times"/>
          <w:sz w:val="36"/>
          <w:sz-cs w:val="36"/>
          <w:spacing w:val="0"/>
        </w:rPr>
        <w:t xml:space="preserve"/>
      </w:r>
    </w:p>
    <w:p>
      <w:pPr>
        <w:spacing w:after="240"/>
      </w:pPr>
      <w:r>
        <w:rPr>
          <w:rFonts w:ascii="Times" w:hAnsi="Times" w:cs="Times"/>
          <w:sz w:val="36"/>
          <w:sz-cs w:val="36"/>
          <w:spacing w:val="0"/>
        </w:rPr>
        <w:t xml:space="preserve">1. IAM at account boundary;</w:t>
      </w:r>
    </w:p>
    <w:p>
      <w:pPr>
        <w:spacing w:after="240"/>
      </w:pPr>
      <w:r>
        <w:rPr>
          <w:rFonts w:ascii="Times" w:hAnsi="Times" w:cs="Times"/>
          <w:sz w:val="36"/>
          <w:sz-cs w:val="36"/>
          <w:spacing w:val="0"/>
        </w:rPr>
        <w:t xml:space="preserve">2. Network</w:t>
      </w:r>
    </w:p>
    <w:p>
      <w:pPr>
        <w:spacing w:after="240"/>
      </w:pPr>
      <w:r>
        <w:rPr>
          <w:rFonts w:ascii="Times" w:hAnsi="Times" w:cs="Times"/>
          <w:sz w:val="36"/>
          <w:sz-cs w:val="36"/>
          <w:spacing w:val="0"/>
        </w:rPr>
        <w:t xml:space="preserve">3. Separate EKS clusters per client, not namespace tenancy</w:t>
      </w:r>
    </w:p>
    <w:p>
      <w:pPr>
        <w:spacing w:after="240"/>
      </w:pPr>
      <w:r>
        <w:rPr>
          <w:rFonts w:ascii="Times" w:hAnsi="Times" w:cs="Times"/>
          <w:sz w:val="36"/>
          <w:sz-cs w:val="36"/>
          <w:spacing w:val="0"/>
        </w:rPr>
        <w:t xml:space="preserve">4. Per-client RDS with per-client</w:t>
      </w:r>
    </w:p>
    <w:p>
      <w:pPr>
        <w:spacing w:after="240"/>
      </w:pPr>
      <w:r>
        <w:rPr>
          <w:rFonts w:ascii="Times" w:hAnsi="Times" w:cs="Times"/>
          <w:sz w:val="36"/>
          <w:sz-cs w:val="36"/>
          <w:spacing w:val="0"/>
        </w:rPr>
        <w:t xml:space="preserve">5. Per-account service quotas.</w:t>
      </w:r>
    </w:p>
    <w:p>
      <w:pPr>
        <w:spacing w:after="240"/>
      </w:pPr>
      <w:r>
        <w:rPr>
          <w:rFonts w:ascii="Times" w:hAnsi="Times" w:cs="Times"/>
          <w:sz w:val="36"/>
          <w:sz-cs w:val="36"/>
          <w:spacing w:val="0"/>
        </w:rPr>
        <w:t xml:space="preserve"/>
      </w:r>
    </w:p>
    <w:p>
      <w:pPr>
        <w:spacing w:after="80"/>
      </w:pPr>
      <w:r>
        <w:rPr>
          <w:rFonts w:ascii="Times" w:hAnsi="Times" w:cs="Times"/>
          <w:sz w:val="36"/>
          <w:sz-cs w:val="36"/>
          <w:b/>
        </w:rPr>
        <w:t xml:space="preserve">R&amp;D is in a separate OU (Non-Production)</w:t>
      </w:r>
      <w:r>
        <w:rPr>
          <w:rFonts w:ascii="Times" w:hAnsi="Times" w:cs="Times"/>
          <w:sz w:val="32"/>
          <w:sz-cs w:val="32"/>
        </w:rPr>
        <w:t xml:space="preserve"/>
      </w:r>
    </w:p>
    <w:p>
      <w:pPr>
        <w:spacing w:after="100"/>
      </w:pPr>
      <w:r>
        <w:rPr>
          <w:rFonts w:ascii="Times" w:hAnsi="Times" w:cs="Times"/>
          <w:sz w:val="32"/>
          <w:sz-cs w:val="32"/>
        </w:rPr>
        <w:t xml:space="preserve">R&amp;D lives in its own account in the Non-production OU with no IAM or network path into production. R&amp;D is shared because the whole team is working on the same product. It makes no sense for each developer or each client to have a separate dev environment, the code is the same, the team is the same, the tests are the same.</w:t>
      </w:r>
    </w:p>
    <w:p>
      <w:pPr>
        <w:spacing w:after="100"/>
      </w:pPr>
      <w:r>
        <w:rPr>
          <w:rFonts w:ascii="Times" w:hAnsi="Times" w:cs="Times"/>
          <w:sz w:val="32"/>
          <w:sz-cs w:val="32"/>
        </w:rPr>
        <w:t xml:space="preserve"/>
      </w:r>
    </w:p>
    <w:p>
      <w:pPr/>
      <w:r>
        <w:rPr>
          <w:rFonts w:ascii="Times" w:hAnsi="Times" w:cs="Times"/>
          <w:sz w:val="36"/>
          <w:sz-cs w:val="36"/>
          <w:b/>
          <w:color w:val="011F67"/>
        </w:rPr>
        <w:t xml:space="preserve">Network design</w:t>
      </w:r>
    </w:p>
    <w:p>
      <w:pPr>
        <w:spacing w:after="80"/>
      </w:pPr>
      <w:r>
        <w:rPr>
          <w:rFonts w:ascii="Times" w:hAnsi="Times" w:cs="Times"/>
          <w:sz w:val="32"/>
          <w:sz-cs w:val="32"/>
          <w:b/>
        </w:rPr>
        <w:t xml:space="preserve">CIDR </w:t>
      </w:r>
    </w:p>
    <w:p>
      <w:pPr>
        <w:spacing w:after="80"/>
      </w:pPr>
      <w:r>
        <w:rPr>
          <w:rFonts w:ascii="Times" w:hAnsi="Times" w:cs="Times"/>
          <w:sz w:val="32"/>
          <w:sz-cs w:val="32"/>
          <w:spacing w:val="0"/>
        </w:rPr>
        <w:t xml:space="preserve">Even though client accounts are isolated, we will use </w:t>
      </w:r>
      <w:r>
        <w:rPr>
          <w:rFonts w:ascii="Times" w:hAnsi="Times" w:cs="Times"/>
          <w:sz w:val="32"/>
          <w:sz-cs w:val="32"/>
          <w:b/>
          <w:spacing w:val="0"/>
        </w:rPr>
        <w:t xml:space="preserve">non-overlapping CIDR blocks</w:t>
      </w:r>
      <w:r>
        <w:rPr>
          <w:rFonts w:ascii="Times" w:hAnsi="Times" w:cs="Times"/>
          <w:sz w:val="32"/>
          <w:sz-cs w:val="32"/>
          <w:spacing w:val="0"/>
        </w:rPr>
        <w:t xml:space="preserve"> (e.g., Client A: </w:t>
      </w:r>
      <w:r>
        <w:rPr>
          <w:rFonts w:ascii="Courier" w:hAnsi="Courier" w:cs="Courier"/>
          <w:sz w:val="32"/>
          <w:sz-cs w:val="32"/>
          <w:spacing w:val="0"/>
        </w:rPr>
        <w:t xml:space="preserve">10.10.0.0/16</w:t>
      </w:r>
      <w:r>
        <w:rPr>
          <w:rFonts w:ascii="Times" w:hAnsi="Times" w:cs="Times"/>
          <w:sz w:val="32"/>
          <w:sz-cs w:val="32"/>
          <w:spacing w:val="0"/>
        </w:rPr>
        <w:t xml:space="preserve">, Client B: </w:t>
      </w:r>
      <w:r>
        <w:rPr>
          <w:rFonts w:ascii="Courier" w:hAnsi="Courier" w:cs="Courier"/>
          <w:sz w:val="32"/>
          <w:sz-cs w:val="32"/>
          <w:spacing w:val="0"/>
        </w:rPr>
        <w:t xml:space="preserve">10.11.0.0/16</w:t>
      </w:r>
      <w:r>
        <w:rPr>
          <w:rFonts w:ascii="Times" w:hAnsi="Times" w:cs="Times"/>
          <w:sz w:val="32"/>
          <w:sz-cs w:val="32"/>
          <w:spacing w:val="0"/>
        </w:rPr>
        <w:t xml:space="preserve">, Shared Services: </w:t>
      </w:r>
      <w:r>
        <w:rPr>
          <w:rFonts w:ascii="Courier" w:hAnsi="Courier" w:cs="Courier"/>
          <w:sz w:val="32"/>
          <w:sz-cs w:val="32"/>
          <w:spacing w:val="0"/>
        </w:rPr>
        <w:t xml:space="preserve">10.0.0.0/16</w:t>
      </w:r>
      <w:r>
        <w:rPr>
          <w:rFonts w:ascii="Times" w:hAnsi="Times" w:cs="Times"/>
          <w:sz w:val="32"/>
          <w:sz-cs w:val="32"/>
          <w:spacing w:val="0"/>
        </w:rPr>
        <w:t xml:space="preserve">)</w:t>
      </w:r>
      <w:r>
        <w:rPr>
          <w:rFonts w:ascii="Times" w:hAnsi="Times" w:cs="Times"/>
          <w:sz w:val="32"/>
          <w:sz-cs w:val="32"/>
          <w:b/>
          <w:color w:val="011F67"/>
        </w:rPr>
        <w:t xml:space="preserve"/>
      </w:r>
    </w:p>
    <w:p>
      <w:pPr>
        <w:spacing w:after="100"/>
      </w:pPr>
      <w:r>
        <w:rPr>
          <w:rFonts w:ascii="Times" w:hAnsi="Times" w:cs="Times"/>
          <w:sz w:val="32"/>
          <w:sz-cs w:val="32"/>
        </w:rPr>
        <w:t xml:space="preserve">Each VPC gets a /16 from a contiguous 10.0.0.0/8 block, tracked in AWS VPC IPAM. A /16 is wasteful by host count but generous on subnets — leaves room to add a Lambda subnet or analytics tier later without renumbering a live VPC. Three subnet tiers across two AZs: public (ALB, NAT GW), private app (EKS), and data (RDS). Two AZs is enough for our scale; a third doubles cross-AZ data transfer cost without much extra reliability. The data subnets deliberately have no internet route — not even via NAT — as cheap structural defense if the database tier is ever compromised.</w:t>
      </w:r>
    </w:p>
    <w:p>
      <w:pPr>
        <w:spacing w:after="100"/>
      </w:pPr>
      <w:r>
        <w:rPr>
          <w:rFonts w:ascii="Times" w:hAnsi="Times" w:cs="Times"/>
          <w:sz w:val="32"/>
          <w:sz-cs w:val="32"/>
        </w:rPr>
        <w:t xml:space="preserve"/>
      </w:r>
    </w:p>
    <w:p>
      <w:pPr>
        <w:spacing w:after="100"/>
      </w:pPr>
      <w:r>
        <w:rPr>
          <w:rFonts w:ascii="Times" w:hAnsi="Times" w:cs="Times"/>
          <w:sz w:val="32"/>
          <w:sz-cs w:val="32"/>
          <w:b/>
        </w:rPr>
        <w:t xml:space="preserve">Inbound</w:t>
      </w:r>
      <w:r>
        <w:rPr>
          <w:rFonts w:ascii="Times" w:hAnsi="Times" w:cs="Times"/>
          <w:sz w:val="32"/>
          <w:sz-cs w:val="32"/>
        </w:rPr>
        <w:t xml:space="preserve"> flows Internet </w:t>
      </w:r>
      <w:r>
        <w:rPr>
          <w:rFonts w:ascii="Times New Roman" w:hAnsi="Times New Roman" w:cs="Times New Roman"/>
          <w:sz w:val="32"/>
          <w:sz-cs w:val="32"/>
        </w:rPr>
        <w:t xml:space="preserve">→</w:t>
      </w:r>
      <w:r>
        <w:rPr>
          <w:rFonts w:ascii="Times" w:hAnsi="Times" w:cs="Times"/>
          <w:sz w:val="32"/>
          <w:sz-cs w:val="32"/>
        </w:rPr>
        <w:t xml:space="preserve"> Route 53 </w:t>
      </w:r>
      <w:r>
        <w:rPr>
          <w:rFonts w:ascii="Times New Roman" w:hAnsi="Times New Roman" w:cs="Times New Roman"/>
          <w:sz w:val="32"/>
          <w:sz-cs w:val="32"/>
        </w:rPr>
        <w:t xml:space="preserve">→</w:t>
      </w:r>
      <w:r>
        <w:rPr>
          <w:rFonts w:ascii="Times" w:hAnsi="Times" w:cs="Times"/>
          <w:sz w:val="32"/>
          <w:sz-cs w:val="32"/>
        </w:rPr>
        <w:t xml:space="preserve"> IGW </w:t>
      </w:r>
      <w:r>
        <w:rPr>
          <w:rFonts w:ascii="Times New Roman" w:hAnsi="Times New Roman" w:cs="Times New Roman"/>
          <w:sz w:val="32"/>
          <w:sz-cs w:val="32"/>
        </w:rPr>
        <w:t xml:space="preserve">→</w:t>
      </w:r>
      <w:r>
        <w:rPr>
          <w:rFonts w:ascii="Times" w:hAnsi="Times" w:cs="Times"/>
          <w:sz w:val="32"/>
          <w:sz-cs w:val="32"/>
        </w:rPr>
        <w:t xml:space="preserve"> ALB (multi-AZ, ACM TLS, AWS WAF) </w:t>
      </w:r>
      <w:r>
        <w:rPr>
          <w:rFonts w:ascii="Times New Roman" w:hAnsi="Times New Roman" w:cs="Times New Roman"/>
          <w:sz w:val="32"/>
          <w:sz-cs w:val="32"/>
        </w:rPr>
        <w:t xml:space="preserve">→</w:t>
      </w:r>
      <w:r>
        <w:rPr>
          <w:rFonts w:ascii="Times" w:hAnsi="Times" w:cs="Times"/>
          <w:sz w:val="32"/>
          <w:sz-cs w:val="32"/>
        </w:rPr>
        <w:t xml:space="preserve"> EKS pods </w:t>
      </w:r>
      <w:r>
        <w:rPr>
          <w:rFonts w:ascii="Times New Roman" w:hAnsi="Times New Roman" w:cs="Times New Roman"/>
          <w:sz w:val="32"/>
          <w:sz-cs w:val="32"/>
        </w:rPr>
        <w:t xml:space="preserve">→</w:t>
      </w:r>
      <w:r>
        <w:rPr>
          <w:rFonts w:ascii="Times" w:hAnsi="Times" w:cs="Times"/>
          <w:sz w:val="32"/>
          <w:sz-cs w:val="32"/>
        </w:rPr>
        <w:t xml:space="preserve"> RDS. </w:t>
      </w:r>
    </w:p>
    <w:p>
      <w:pPr>
        <w:spacing w:after="100"/>
      </w:pPr>
      <w:r>
        <w:rPr>
          <w:rFonts w:ascii="Times" w:hAnsi="Times" w:cs="Times"/>
          <w:sz w:val="32"/>
          <w:sz-cs w:val="32"/>
        </w:rPr>
        <w:t xml:space="preserve">The EKS API server is private. “kubectl” goes through SSM Session Manager.</w:t>
      </w:r>
    </w:p>
    <w:p>
      <w:pPr>
        <w:spacing w:after="100"/>
      </w:pPr>
      <w:r>
        <w:rPr>
          <w:rFonts w:ascii="Times" w:hAnsi="Times" w:cs="Times"/>
          <w:sz w:val="32"/>
          <w:sz-cs w:val="32"/>
          <w:b/>
        </w:rPr>
        <w:t xml:space="preserve">Outbound</w:t>
      </w:r>
      <w:r>
        <w:rPr>
          <w:rFonts w:ascii="Times" w:hAnsi="Times" w:cs="Times"/>
          <w:sz w:val="32"/>
          <w:sz-cs w:val="32"/>
        </w:rPr>
        <w:t xml:space="preserve"> from private workloads goes through a NAT Gateway per AZ (one per AZ, not shared avoids a cross-AZ failure mode) with documented Elastic IPs for partner allowlisting. Security groups are referenced by SG ID, never CIDR, because CIDR-based allow lists drift over time. </w:t>
      </w:r>
    </w:p>
    <w:p>
      <w:pPr>
        <w:spacing w:after="100"/>
      </w:pPr>
      <w:r>
        <w:rPr>
          <w:rFonts w:ascii="Times" w:hAnsi="Times" w:cs="Times"/>
          <w:sz w:val="32"/>
          <w:sz-cs w:val="32"/>
        </w:rPr>
        <w:t xml:space="preserve"/>
      </w:r>
    </w:p>
    <w:p>
      <w:pPr>
        <w:spacing w:after="100"/>
      </w:pPr>
      <w:r>
        <w:rPr>
          <w:rFonts w:ascii="Times" w:hAnsi="Times" w:cs="Times"/>
          <w:sz w:val="32"/>
          <w:sz-cs w:val="32"/>
        </w:rPr>
        <w:t xml:space="preserve">On the bonus question. Between accounts, Transit Gateway is the hub but the route tables are configured so client A and client B can't route to each other — only to Shared Services. What actually crosses the TGW is ArgoCD pulling images from the central ECR, log shipping to the observability account, and cross-account IAM for break-glass. Customer traffic doesn't cross it; that's what the public ALB is for. If a client wants VPN or Direct Connect, I'd attach it to that client's own VPC rather than the shared TGW.</w:t>
      </w:r>
    </w:p>
    <w:p>
      <w:pPr>
        <w:spacing w:after="100"/>
      </w:pPr>
      <w:r>
        <w:rPr>
          <w:rFonts w:ascii="Times" w:hAnsi="Times" w:cs="Times"/>
          <w:sz w:val="32"/>
          <w:sz-cs w:val="32"/>
        </w:rPr>
        <w:t xml:space="preserve"/>
      </w:r>
    </w:p>
    <w:p>
      <w:pPr/>
      <w:r>
        <w:rPr>
          <w:rFonts w:ascii="Times" w:hAnsi="Times" w:cs="Times"/>
          <w:sz w:val="36"/>
          <w:sz-cs w:val="36"/>
          <w:b/>
          <w:color w:val="011F67"/>
        </w:rPr>
        <w:t xml:space="preserve">Security</w:t>
      </w:r>
    </w:p>
    <w:p>
      <w:pPr>
        <w:spacing w:after="100"/>
      </w:pPr>
      <w:r>
        <w:rPr>
          <w:rFonts w:ascii="Times" w:hAnsi="Times" w:cs="Times"/>
          <w:sz w:val="32"/>
          <w:sz-cs w:val="32"/>
          <w:b/>
        </w:rPr>
        <w:t xml:space="preserve">Least Privilege Networking Between Tiers</w:t>
      </w:r>
    </w:p>
    <w:p>
      <w:pPr>
        <w:spacing w:after="100"/>
      </w:pPr>
      <w:r>
        <w:rPr>
          <w:rFonts w:ascii="Times" w:hAnsi="Times" w:cs="Times"/>
          <w:sz w:val="32"/>
          <w:sz-cs w:val="32"/>
        </w:rPr>
        <w:t xml:space="preserve">I approach networking with a “deny by default” approach. The main control is implemented through security groups that allow communication only between specific tiers.</w:t>
      </w:r>
    </w:p>
    <w:p>
      <w:pPr>
        <w:spacing w:after="100"/>
      </w:pPr>
      <w:r>
        <w:rPr>
          <w:rFonts w:ascii="Times" w:hAnsi="Times" w:cs="Times"/>
          <w:sz w:val="32"/>
          <w:sz-cs w:val="32"/>
        </w:rPr>
        <w:t xml:space="preserve">For example:</w:t>
      </w:r>
    </w:p>
    <w:p>
      <w:pPr>
        <w:spacing w:after="100"/>
      </w:pPr>
      <w:r>
        <w:rPr>
          <w:rFonts w:ascii="Times" w:hAnsi="Times" w:cs="Times"/>
          <w:sz w:val="32"/>
          <w:sz-cs w:val="32"/>
        </w:rPr>
        <w:t xml:space="preserve">The ALB security group allows HTTPS (443) from the internet</w:t>
      </w:r>
    </w:p>
    <w:p>
      <w:pPr>
        <w:spacing w:after="100"/>
      </w:pPr>
      <w:r>
        <w:rPr>
          <w:rFonts w:ascii="Times" w:hAnsi="Times" w:cs="Times"/>
          <w:sz w:val="32"/>
          <w:sz-cs w:val="32"/>
        </w:rPr>
        <w:t xml:space="preserve">The EKS security group accepts application traffic only from the ALB security group</w:t>
      </w:r>
    </w:p>
    <w:p>
      <w:pPr>
        <w:spacing w:after="100"/>
      </w:pPr>
      <w:r>
        <w:rPr>
          <w:rFonts w:ascii="Times" w:hAnsi="Times" w:cs="Times"/>
          <w:sz w:val="32"/>
          <w:sz-cs w:val="32"/>
        </w:rPr>
        <w:t xml:space="preserve">The RDS security group allows access to PostgreSQL only from the EKS security group and has no outbound access</w:t>
      </w:r>
    </w:p>
    <w:p>
      <w:pPr>
        <w:spacing w:after="100"/>
      </w:pPr>
      <w:r>
        <w:rPr>
          <w:rFonts w:ascii="Times" w:hAnsi="Times" w:cs="Times"/>
          <w:sz w:val="32"/>
          <w:sz-cs w:val="32"/>
        </w:rPr>
        <w:t xml:space="preserve"/>
      </w:r>
    </w:p>
    <w:p>
      <w:pPr>
        <w:spacing w:after="100"/>
      </w:pPr>
      <w:r>
        <w:rPr>
          <w:rFonts w:ascii="Times" w:hAnsi="Times" w:cs="Times"/>
          <w:sz w:val="32"/>
          <w:sz-cs w:val="32"/>
        </w:rPr>
        <w:t xml:space="preserve">This way each tier can communicate only with what it really needs.</w:t>
      </w:r>
    </w:p>
    <w:p>
      <w:pPr>
        <w:spacing w:after="100"/>
      </w:pPr>
      <w:r>
        <w:rPr>
          <w:rFonts w:ascii="Times" w:hAnsi="Times" w:cs="Times"/>
          <w:sz w:val="32"/>
          <w:sz-cs w:val="32"/>
        </w:rPr>
        <w:t xml:space="preserve">Inside Amazon EKS I also use Kubernetes Network Policies as a second layer of protection</w:t>
      </w:r>
    </w:p>
    <w:p>
      <w:pPr>
        <w:spacing w:after="100"/>
      </w:pPr>
      <w:r>
        <w:rPr>
          <w:rFonts w:ascii="Times" w:hAnsi="Times" w:cs="Times"/>
          <w:sz w:val="32"/>
          <w:sz-cs w:val="32"/>
        </w:rPr>
        <w:t xml:space="preserve"/>
      </w:r>
    </w:p>
    <w:p>
      <w:pPr>
        <w:spacing w:after="280"/>
      </w:pPr>
      <w:r>
        <w:rPr>
          <w:rFonts w:ascii="Times" w:hAnsi="Times" w:cs="Times"/>
          <w:sz w:val="32"/>
          <w:sz-cs w:val="32"/>
          <w:b/>
          <w:spacing w:val="0"/>
        </w:rPr>
        <w:t xml:space="preserve">Secrets &amp; Credentials Management</w:t>
      </w:r>
    </w:p>
    <w:p>
      <w:pPr>
        <w:spacing w:after="280"/>
      </w:pPr>
      <w:r>
        <w:rPr>
          <w:rFonts w:ascii="Times" w:hAnsi="Times" w:cs="Times"/>
          <w:sz w:val="32"/>
          <w:sz-cs w:val="32"/>
        </w:rPr>
        <w:t xml:space="preserve">Secrets live in AWS Secrets Manager. Pods fetch via IRSA and the Secrets Store CSI Driver no AWS keys baked into containers, mounted as files, or stored as Kubernetes Secrets (base64 isn't encryption). DB credentials auto-rotate on a 30-day schedule. KMS encrypts every secret with a per-client customer-managed key. CI/CD assumes roles via short-lived OIDC tokens from GitHub Actions, so there are no long-lived AWS keys in CI either</w:t>
      </w:r>
    </w:p>
    <w:p>
      <w:pPr>
        <w:spacing w:after="280"/>
      </w:pPr>
      <w:r>
        <w:rPr>
          <w:rFonts w:ascii="Times" w:hAnsi="Times" w:cs="Times"/>
          <w:sz w:val="32"/>
          <w:sz-cs w:val="32"/>
        </w:rPr>
        <w:t xml:space="preserve"/>
      </w:r>
    </w:p>
    <w:p>
      <w:pPr>
        <w:spacing w:after="280"/>
      </w:pPr>
      <w:r>
        <w:rPr>
          <w:rFonts w:ascii="Times" w:hAnsi="Times" w:cs="Times"/>
          <w:sz w:val="32"/>
          <w:sz-cs w:val="32"/>
          <w:b/>
          <w:spacing w:val="0"/>
        </w:rPr>
        <w:t xml:space="preserve">Baseline Compliance Controls</w:t>
      </w:r>
      <w:r>
        <w:rPr>
          <w:rFonts w:ascii="Times" w:hAnsi="Times" w:cs="Times"/>
          <w:sz w:val="32"/>
          <w:sz-cs w:val="32"/>
        </w:rPr>
        <w:t xml:space="preserve"/>
      </w:r>
    </w:p>
    <w:p>
      <w:pPr>
        <w:spacing w:after="100"/>
      </w:pPr>
      <w:r>
        <w:rPr>
          <w:rFonts w:ascii="Times" w:hAnsi="Times" w:cs="Times"/>
          <w:sz w:val="32"/>
          <w:sz-cs w:val="32"/>
        </w:rPr>
        <w:t xml:space="preserve">Since the platform serves financial and insurance customers, I would implement a security baseline in every AWS account from day one.</w:t>
      </w:r>
    </w:p>
    <w:p>
      <w:pPr>
        <w:spacing w:after="100"/>
      </w:pPr>
      <w:r>
        <w:rPr>
          <w:rFonts w:ascii="Times" w:hAnsi="Times" w:cs="Times"/>
          <w:sz w:val="32"/>
          <w:sz-cs w:val="32"/>
        </w:rPr>
        <w:t xml:space="preserve">Key controls include:</w:t>
      </w:r>
    </w:p>
    <w:p>
      <w:pPr>
        <w:spacing w:after="100"/>
      </w:pPr>
      <w:r>
        <w:rPr>
          <w:rFonts w:ascii="Times" w:hAnsi="Times" w:cs="Times"/>
          <w:sz w:val="32"/>
          <w:sz-cs w:val="32"/>
        </w:rPr>
        <w:t xml:space="preserve">AWS CloudTrail for the entire organization with centralized audit logs in the security account</w:t>
      </w:r>
    </w:p>
    <w:p>
      <w:pPr>
        <w:spacing w:after="100"/>
      </w:pPr>
      <w:r>
        <w:rPr>
          <w:rFonts w:ascii="Times" w:hAnsi="Times" w:cs="Times"/>
          <w:sz w:val="32"/>
          <w:sz-cs w:val="32"/>
        </w:rPr>
        <w:t xml:space="preserve">Compliance packages with AWS Config for continuous validation of compliance</w:t>
      </w:r>
    </w:p>
    <w:p>
      <w:pPr>
        <w:spacing w:after="100"/>
      </w:pPr>
      <w:r>
        <w:rPr>
          <w:rFonts w:ascii="Times" w:hAnsi="Times" w:cs="Times"/>
          <w:sz w:val="32"/>
          <w:sz-cs w:val="32"/>
        </w:rPr>
        <w:t xml:space="preserve">Amazon GuardDuty across all accounts</w:t>
      </w:r>
    </w:p>
    <w:p>
      <w:pPr>
        <w:spacing w:after="100"/>
      </w:pPr>
      <w:r>
        <w:rPr>
          <w:rFonts w:ascii="Times" w:hAnsi="Times" w:cs="Times"/>
          <w:sz w:val="32"/>
          <w:sz-cs w:val="32"/>
        </w:rPr>
        <w:t xml:space="preserve">Aggregation of findings via AWS Security Hub</w:t>
      </w:r>
    </w:p>
    <w:p>
      <w:pPr>
        <w:spacing w:after="100"/>
      </w:pPr>
      <w:r>
        <w:rPr>
          <w:rFonts w:ascii="Times" w:hAnsi="Times" w:cs="Times"/>
          <w:sz w:val="32"/>
          <w:sz-cs w:val="32"/>
        </w:rPr>
        <w:t xml:space="preserve">AWS Core Security Best Practices and CIS Benchmarks</w:t>
      </w:r>
    </w:p>
    <w:p>
      <w:pPr>
        <w:spacing w:after="100"/>
      </w:pPr>
      <w:r>
        <w:rPr>
          <w:rFonts w:ascii="Times" w:hAnsi="Times" w:cs="Times"/>
          <w:sz w:val="32"/>
          <w:sz-cs w:val="32"/>
        </w:rPr>
        <w:t xml:space="preserve">Default Encryption for: EBS S3 RDS</w:t>
      </w:r>
    </w:p>
    <w:p>
      <w:pPr>
        <w:spacing w:after="100"/>
      </w:pPr>
      <w:r>
        <w:rPr>
          <w:rFonts w:ascii="Times" w:hAnsi="Times" w:cs="Times"/>
          <w:sz w:val="32"/>
          <w:sz-cs w:val="32"/>
        </w:rPr>
        <w:t xml:space="preserve"/>
      </w:r>
    </w:p>
    <w:p>
      <w:pPr>
        <w:spacing w:after="100"/>
      </w:pPr>
      <w:r>
        <w:rPr>
          <w:rFonts w:ascii="Times" w:hAnsi="Times" w:cs="Times"/>
          <w:sz w:val="32"/>
          <w:sz-cs w:val="32"/>
        </w:rPr>
        <w:t xml:space="preserve">I use customer-managed KMS keys instead of AWS-managed keys because they provide better control, auditability, and tenant isolation.</w:t>
      </w:r>
    </w:p>
    <w:p>
      <w:pPr>
        <w:spacing w:after="100"/>
      </w:pPr>
      <w:r>
        <w:rPr>
          <w:rFonts w:ascii="Times" w:hAnsi="Times" w:cs="Times"/>
          <w:sz w:val="32"/>
          <w:sz-cs w:val="32"/>
        </w:rPr>
        <w:t xml:space="preserve"/>
      </w:r>
    </w:p>
    <w:p>
      <w:pPr>
        <w:spacing w:after="100"/>
      </w:pPr>
      <w:r>
        <w:rPr>
          <w:rFonts w:ascii="Times" w:hAnsi="Times" w:cs="Times"/>
          <w:sz w:val="32"/>
          <w:sz-cs w:val="32"/>
        </w:rPr>
        <w:t xml:space="preserve">Additionally:</w:t>
      </w:r>
    </w:p>
    <w:p>
      <w:pPr>
        <w:spacing w:after="100"/>
      </w:pPr>
      <w:r>
        <w:rPr>
          <w:rFonts w:ascii="Times" w:hAnsi="Times" w:cs="Times"/>
          <w:sz w:val="32"/>
          <w:sz-cs w:val="32"/>
        </w:rPr>
        <w:t xml:space="preserve">VPC Flow Logs to S3</w:t>
      </w:r>
    </w:p>
    <w:p>
      <w:pPr>
        <w:spacing w:after="100"/>
      </w:pPr>
      <w:r>
        <w:rPr>
          <w:rFonts w:ascii="Times" w:hAnsi="Times" w:cs="Times"/>
          <w:sz w:val="32"/>
          <w:sz-cs w:val="32"/>
        </w:rPr>
        <w:t xml:space="preserve">AWS Backup with Vault Lock for immutable backups</w:t>
      </w:r>
    </w:p>
    <w:p>
      <w:pPr>
        <w:spacing w:after="100"/>
      </w:pPr>
      <w:r>
        <w:rPr>
          <w:rFonts w:ascii="Times" w:hAnsi="Times" w:cs="Times"/>
          <w:sz w:val="32"/>
          <w:sz-cs w:val="32"/>
        </w:rPr>
        <w:t xml:space="preserve">SCP policies that make certain misconfigurations impossible:</w:t>
      </w:r>
    </w:p>
    <w:p>
      <w:pPr>
        <w:spacing w:after="100"/>
      </w:pPr>
      <w:r>
        <w:rPr>
          <w:rFonts w:ascii="Times" w:hAnsi="Times" w:cs="Times"/>
          <w:sz w:val="32"/>
          <w:sz-cs w:val="32"/>
        </w:rPr>
        <w:t xml:space="preserve">Disable public S3 containers</w:t>
      </w:r>
    </w:p>
    <w:p>
      <w:pPr>
        <w:spacing w:after="100"/>
      </w:pPr>
      <w:r>
        <w:rPr>
          <w:rFonts w:ascii="Times" w:hAnsi="Times" w:cs="Times"/>
          <w:sz w:val="32"/>
          <w:sz-cs w:val="32"/>
        </w:rPr>
        <w:t xml:space="preserve">Disable CloudTrail deactivation</w:t>
      </w:r>
    </w:p>
    <w:p>
      <w:pPr>
        <w:spacing w:after="100"/>
      </w:pPr>
      <w:r>
        <w:rPr>
          <w:rFonts w:ascii="Times" w:hAnsi="Times" w:cs="Times"/>
          <w:sz w:val="32"/>
          <w:sz-cs w:val="32"/>
        </w:rPr>
        <w:t xml:space="preserve">Disable deployment outside approved regions</w:t>
      </w:r>
    </w:p>
    <w:p>
      <w:pPr>
        <w:spacing w:after="100"/>
      </w:pPr>
      <w:r>
        <w:rPr>
          <w:rFonts w:ascii="Times" w:hAnsi="Times" w:cs="Times"/>
          <w:sz w:val="32"/>
          <w:sz-cs w:val="32"/>
        </w:rPr>
        <w:t xml:space="preserve"/>
      </w:r>
    </w:p>
    <w:p>
      <w:pPr/>
      <w:r>
        <w:rPr>
          <w:rFonts w:ascii="Times" w:hAnsi="Times" w:cs="Times"/>
          <w:sz w:val="36"/>
          <w:sz-cs w:val="36"/>
          <w:b/>
          <w:color w:val="011F67"/>
        </w:rPr>
        <w:t xml:space="preserve">Onboarding a new client</w:t>
      </w:r>
      <w:r>
        <w:rPr>
          <w:rFonts w:ascii="Times" w:hAnsi="Times" w:cs="Times"/>
          <w:sz w:val="32"/>
          <w:sz-cs w:val="32"/>
          <w:spacing w:val="0"/>
        </w:rPr>
        <w:t xml:space="preserve"/>
      </w:r>
    </w:p>
    <w:p>
      <w:pPr>
        <w:spacing w:after="240"/>
      </w:pPr>
      <w:r>
        <w:rPr>
          <w:rFonts w:ascii="Times" w:hAnsi="Times" w:cs="Times"/>
          <w:sz w:val="32"/>
          <w:sz-cs w:val="32"/>
          <w:b/>
          <w:spacing w:val="0"/>
        </w:rPr>
        <w:t xml:space="preserve">End-to-end flow: </w:t>
      </w:r>
    </w:p>
    <w:p>
      <w:pPr>
        <w:spacing w:after="240"/>
      </w:pPr>
      <w:r>
        <w:rPr>
          <w:rFonts w:ascii="Times" w:hAnsi="Times" w:cs="Times"/>
          <w:sz w:val="32"/>
          <w:sz-cs w:val="32"/>
          <w:spacing w:val="0"/>
        </w:rPr>
        <w:t xml:space="preserve">(1) Account Factory for Terraform creates a new account under the Production OU and applies the baseline (CloudTrail, Config, GuardDuty, SCPs, IAM Identity Center permission sets); </w:t>
      </w:r>
    </w:p>
    <w:p>
      <w:pPr>
        <w:spacing w:after="240"/>
      </w:pPr>
      <w:r>
        <w:rPr>
          <w:rFonts w:ascii="Times" w:hAnsi="Times" w:cs="Times"/>
          <w:sz w:val="32"/>
          <w:sz-cs w:val="32"/>
          <w:spacing w:val="0"/>
        </w:rPr>
        <w:t xml:space="preserve">(2) a /16 is reserved from AWS VPC IPAM; </w:t>
      </w:r>
    </w:p>
    <w:p>
      <w:pPr>
        <w:spacing w:after="240"/>
      </w:pPr>
      <w:r>
        <w:rPr>
          <w:rFonts w:ascii="Times" w:hAnsi="Times" w:cs="Times"/>
          <w:sz w:val="32"/>
          <w:sz-cs w:val="32"/>
          <w:spacing w:val="0"/>
        </w:rPr>
        <w:t xml:space="preserve">(3) Terraform provisions the VPC, subnets, route tables, NAT GWs, IGW, VPC endpoints, TGW attachment, EKS cluster, RDS Multi-AZ, and per-client KMS keys; </w:t>
      </w:r>
    </w:p>
    <w:p>
      <w:pPr>
        <w:spacing w:after="240"/>
      </w:pPr>
      <w:r>
        <w:rPr>
          <w:rFonts w:ascii="Times" w:hAnsi="Times" w:cs="Times"/>
          <w:sz w:val="32"/>
          <w:sz-cs w:val="32"/>
          <w:spacing w:val="0"/>
        </w:rPr>
        <w:t xml:space="preserve">(4) ArgoCD bootstraps base Helm charts (ingress, cert-manager, External Secrets, observability agents); </w:t>
      </w:r>
    </w:p>
    <w:p>
      <w:pPr>
        <w:spacing w:after="240"/>
      </w:pPr>
      <w:r>
        <w:rPr>
          <w:rFonts w:ascii="Times" w:hAnsi="Times" w:cs="Times"/>
          <w:sz w:val="32"/>
          <w:sz-cs w:val="32"/>
          <w:spacing w:val="0"/>
        </w:rPr>
        <w:t xml:space="preserve">(5) DNS domain is delegated and ACM certs issued; </w:t>
      </w:r>
    </w:p>
    <w:p>
      <w:pPr>
        <w:spacing w:after="240"/>
      </w:pPr>
      <w:r>
        <w:rPr>
          <w:rFonts w:ascii="Times" w:hAnsi="Times" w:cs="Times"/>
          <w:sz w:val="32"/>
          <w:sz-cs w:val="32"/>
          <w:spacing w:val="0"/>
        </w:rPr>
        <w:t xml:space="preserve"/>
      </w:r>
    </w:p>
    <w:p>
      <w:pPr>
        <w:spacing w:after="240"/>
      </w:pPr>
      <w:r>
        <w:rPr>
          <w:rFonts w:ascii="Times" w:hAnsi="Times" w:cs="Times"/>
          <w:sz w:val="32"/>
          <w:sz-cs w:val="32"/>
          <w:b/>
          <w:spacing w:val="0"/>
        </w:rPr>
        <w:t xml:space="preserve">Current state</w:t>
      </w:r>
    </w:p>
    <w:p>
      <w:pPr>
        <w:spacing w:after="240"/>
      </w:pPr>
      <w:r>
        <w:rPr>
          <w:rFonts w:ascii="Times" w:hAnsi="Times" w:cs="Times"/>
          <w:sz w:val="32"/>
          <w:sz-cs w:val="32"/>
          <w:spacing w:val="0"/>
        </w:rPr>
        <w:t xml:space="preserve">VPC, EKS, and RDS creation are usually automated via Terraform. Account creation is semi-automated with a few manual console steps. KMS key policies, RDS parameter groups, and initial secret seeding are often hand-tuned per client. DNS is a manual. Budget alarms and first-time IAM Identity Center assignments are clicked in the console</w:t>
      </w:r>
    </w:p>
    <w:p>
      <w:pPr>
        <w:spacing w:after="240"/>
      </w:pPr>
      <w:r>
        <w:rPr>
          <w:rFonts w:ascii="Times" w:hAnsi="Times" w:cs="Times"/>
          <w:sz w:val="32"/>
          <w:sz-cs w:val="32"/>
          <w:spacing w:val="0"/>
        </w:rPr>
        <w:t xml:space="preserve"/>
      </w:r>
    </w:p>
    <w:p>
      <w:pPr>
        <w:spacing w:after="240"/>
      </w:pPr>
      <w:r>
        <w:rPr>
          <w:rFonts w:ascii="Times" w:hAnsi="Times" w:cs="Times"/>
          <w:sz w:val="32"/>
          <w:sz-cs w:val="32"/>
          <w:b/>
          <w:spacing w:val="0"/>
        </w:rPr>
        <w:t xml:space="preserve">Target state</w:t>
      </w:r>
      <w:r>
        <w:rPr>
          <w:rFonts w:ascii="Times" w:hAnsi="Times" w:cs="Times"/>
          <w:sz w:val="32"/>
          <w:sz-cs w:val="32"/>
          <w:spacing w:val="0"/>
        </w:rPr>
        <w:t xml:space="preserve"/>
      </w:r>
    </w:p>
    <w:p>
      <w:pPr>
        <w:spacing w:after="240"/>
      </w:pPr>
      <w:r>
        <w:rPr>
          <w:rFonts w:ascii="Times" w:hAnsi="Times" w:cs="Times"/>
          <w:sz w:val="32"/>
          <w:sz-cs w:val="32"/>
          <w:spacing w:val="0"/>
        </w:rPr>
        <w:t xml:space="preserve">A single Git PR drives the whole flow. Adding an entry to a clients.yaml triggers AFT and a downstream pipeline that provisions everything end-to-end. Every baseline control is codified, never clicked. DNS and certs are fully automated via cert-manager and external-dns. Parent zone delegation is the only explicit human approval. Decommissioning is also IaC client offboarding (account closure, data export, key destruction) needs the same rigor.</w:t>
      </w:r>
    </w:p>
    <w:p>
      <w:pPr>
        <w:spacing w:after="240"/>
      </w:pPr>
      <w:r>
        <w:rPr>
          <w:rFonts w:ascii="Times" w:hAnsi="Times" w:cs="Times"/>
          <w:sz w:val="32"/>
          <w:sz-cs w:val="32"/>
          <w:spacing w:val="0"/>
        </w:rPr>
        <w:t xml:space="preserve"/>
      </w:r>
    </w:p>
    <w:p>
      <w:pPr/>
      <w:r>
        <w:rPr>
          <w:rFonts w:ascii="Helvetica" w:hAnsi="Helvetica" w:cs="Helvetica"/>
          <w:sz w:val="36"/>
          <w:sz-cs w:val="36"/>
          <w:b/>
          <w:color w:val="255FA6"/>
        </w:rPr>
        <w:t xml:space="preserve">What We Are Looking For</w:t>
      </w:r>
    </w:p>
    <w:p>
      <w:pPr/>
      <w:r>
        <w:rPr>
          <w:rFonts w:ascii="Helvetica" w:hAnsi="Helvetica" w:cs="Helvetica"/>
          <w:sz w:val="28"/>
          <w:sz-cs w:val="28"/>
          <w:color w:val="255FA6"/>
        </w:rPr>
        <w:t xml:space="preserve"/>
      </w:r>
    </w:p>
    <w:p>
      <w:pPr/>
      <w:r>
        <w:rPr>
          <w:rFonts w:ascii="Times" w:hAnsi="Times" w:cs="Times"/>
          <w:sz w:val="36"/>
          <w:sz-cs w:val="36"/>
          <w:b/>
          <w:spacing w:val="0"/>
        </w:rPr>
        <w:t xml:space="preserve">Tradeoff Reasoning</w:t>
      </w:r>
      <w:r>
        <w:rPr>
          <w:rFonts w:ascii="Helvetica" w:hAnsi="Helvetica" w:cs="Helvetica"/>
          <w:sz w:val="28"/>
          <w:sz-cs w:val="28"/>
          <w:color w:val="255FA6"/>
        </w:rPr>
        <w:t xml:space="preserve"/>
      </w:r>
    </w:p>
    <w:p>
      <w:pPr/>
      <w:r>
        <w:rPr>
          <w:rFonts w:ascii="Times" w:hAnsi="Times" w:cs="Times"/>
          <w:sz w:val="32"/>
          <w:sz-cs w:val="32"/>
          <w:spacing w:val="0"/>
          <w:color w:val="000000"/>
        </w:rPr>
        <w:t xml:space="preserve">I chose a multi-account architecture over a single account with tagging because the account boundary provides the strongest tenant isolation, better blast radius control, and lighter compliance, but higher operational costs.</w:t>
      </w:r>
    </w:p>
    <w:p>
      <w:pPr/>
      <w:r>
        <w:rPr>
          <w:rFonts w:ascii="Times" w:hAnsi="Times" w:cs="Times"/>
          <w:sz w:val="32"/>
          <w:sz-cs w:val="32"/>
          <w:spacing w:val="0"/>
          <w:color w:val="000000"/>
        </w:rPr>
        <w:t xml:space="preserve">I chose Amazon EKS over Amazon ECS because of the Kubernetes ecosystem, standardization, and GitOps tooling, but I would prefer ECS if the team is not experienced with Kubernetes.</w:t>
      </w:r>
    </w:p>
    <w:p>
      <w:pPr/>
      <w:r>
        <w:rPr>
          <w:rFonts w:ascii="Times" w:hAnsi="Times" w:cs="Times"/>
          <w:sz w:val="32"/>
          <w:sz-cs w:val="32"/>
          <w:spacing w:val="0"/>
          <w:color w:val="000000"/>
        </w:rPr>
        <w:t xml:space="preserve">I chose pull-based deployments with ArgoCD over the push model because this way the CI/CD pipeline does not have deployment permissions across all production accounts, which significantly reduces the blast radius.</w:t>
      </w:r>
    </w:p>
    <w:p>
      <w:pPr/>
      <w:r>
        <w:rPr>
          <w:rFonts w:ascii="Times" w:hAnsi="Times" w:cs="Times"/>
          <w:sz w:val="32"/>
          <w:sz-cs w:val="32"/>
          <w:spacing w:val="0"/>
          <w:color w:val="000000"/>
        </w:rPr>
        <w:t xml:space="preserve">I use 2 AZs instead of 3 because the additional reliability does not justify the significantly higher inter-AZ overhead for this workload profile.</w:t>
      </w:r>
    </w:p>
    <w:p>
      <w:pPr/>
      <w:r>
        <w:rPr>
          <w:rFonts w:ascii="Times" w:hAnsi="Times" w:cs="Times"/>
          <w:sz w:val="32"/>
          <w:sz-cs w:val="32"/>
          <w:spacing w:val="0"/>
          <w:color w:val="000000"/>
        </w:rPr>
        <w:t xml:space="preserve">I use EKS clusters per tenant instead of a shared cluster with namespaces because namespaces do not provide strong enough isolation for regulated workloads.</w:t>
      </w:r>
    </w:p>
    <w:p>
      <w:pPr/>
      <w:r>
        <w:rPr>
          <w:rFonts w:ascii="Times" w:hAnsi="Times" w:cs="Times"/>
          <w:sz w:val="32"/>
          <w:sz-cs w:val="32"/>
          <w:spacing w:val="0"/>
          <w:color w:val="000000"/>
        </w:rPr>
        <w:t xml:space="preserve"/>
      </w:r>
    </w:p>
    <w:p>
      <w:pPr>
        <w:spacing w:after="298"/>
      </w:pPr>
      <w:r>
        <w:rPr>
          <w:rFonts w:ascii="Times" w:hAnsi="Times" w:cs="Times"/>
          <w:sz w:val="36"/>
          <w:sz-cs w:val="36"/>
          <w:b/>
          <w:spacing w:val="0"/>
        </w:rPr>
        <w:t xml:space="preserve">Big-picture</w:t>
      </w:r>
      <w:r>
        <w:rPr>
          <w:rFonts w:ascii="Times" w:hAnsi="Times" w:cs="Times"/>
          <w:sz w:val="32"/>
          <w:sz-cs w:val="32"/>
          <w:spacing w:val="0"/>
          <w:color w:val="000000"/>
        </w:rPr>
        <w:t xml:space="preserve"/>
      </w:r>
    </w:p>
    <w:p>
      <w:pPr/>
      <w:r>
        <w:rPr>
          <w:rFonts w:ascii="Times" w:hAnsi="Times" w:cs="Times"/>
          <w:sz w:val="32"/>
          <w:sz-cs w:val="32"/>
          <w:spacing w:val="0"/>
          <w:color w:val="000000"/>
        </w:rPr>
        <w:t xml:space="preserve">The design is built as a single connected system with clear dependencies, rather than as a set of separate AWS services.</w:t>
      </w:r>
    </w:p>
    <w:p>
      <w:pPr/>
      <w:r>
        <w:rPr>
          <w:rFonts w:ascii="Times" w:hAnsi="Times" w:cs="Times"/>
          <w:sz w:val="32"/>
          <w:sz-cs w:val="32"/>
          <w:spacing w:val="0"/>
          <w:color w:val="000000"/>
        </w:rPr>
        <w:t xml:space="preserve">At its core are several design principles that “hold everything together”:</w:t>
      </w:r>
    </w:p>
    <w:p>
      <w:pPr/>
      <w:r>
        <w:rPr>
          <w:rFonts w:ascii="Times" w:hAnsi="Times" w:cs="Times"/>
          <w:sz w:val="32"/>
          <w:sz-cs w:val="32"/>
          <w:spacing w:val="0"/>
          <w:color w:val="000000"/>
        </w:rPr>
        <w:t xml:space="preserve"/>
      </w:r>
    </w:p>
    <w:p>
      <w:pPr/>
      <w:r>
        <w:rPr>
          <w:rFonts w:ascii="Times" w:hAnsi="Times" w:cs="Times"/>
          <w:sz w:val="32"/>
          <w:sz-cs w:val="32"/>
          <w:spacing w:val="0"/>
          <w:color w:val="000000"/>
        </w:rPr>
        <w:t xml:space="preserve">1. Tenant isolation as a fundamental architectural principle</w:t>
      </w:r>
    </w:p>
    <w:p>
      <w:pPr/>
      <w:r>
        <w:rPr>
          <w:rFonts w:ascii="Times" w:hAnsi="Times" w:cs="Times"/>
          <w:sz w:val="32"/>
          <w:sz-cs w:val="32"/>
          <w:spacing w:val="0"/>
          <w:color w:val="000000"/>
        </w:rPr>
        <w:t xml:space="preserve">The entire system is subject to the idea that each client is a completely isolated boundary.</w:t>
      </w:r>
    </w:p>
    <w:p>
      <w:pPr/>
      <w:r>
        <w:rPr>
          <w:rFonts w:ascii="Times" w:hAnsi="Times" w:cs="Times"/>
          <w:sz w:val="32"/>
          <w:sz-cs w:val="32"/>
          <w:spacing w:val="0"/>
          <w:color w:val="000000"/>
        </w:rPr>
        <w:t xml:space="preserve">2. Hub-and-spoke networking model</w:t>
      </w:r>
    </w:p>
    <w:p>
      <w:pPr/>
      <w:r>
        <w:rPr>
          <w:rFonts w:ascii="Times" w:hAnsi="Times" w:cs="Times"/>
          <w:sz w:val="32"/>
          <w:sz-cs w:val="32"/>
          <w:spacing w:val="0"/>
          <w:color w:val="000000"/>
        </w:rPr>
        <w:t xml:space="preserve">All client environments are connected through a central hub, the AWS Transit Gateway. But the key is that there is no client-to-client routing</w:t>
      </w:r>
    </w:p>
    <w:p>
      <w:pPr/>
      <w:r>
        <w:rPr>
          <w:rFonts w:ascii="Times" w:hAnsi="Times" w:cs="Times"/>
          <w:sz w:val="32"/>
          <w:sz-cs w:val="32"/>
          <w:spacing w:val="0"/>
          <w:color w:val="000000"/>
        </w:rPr>
        <w:t xml:space="preserve">3. End-to-end lifecycle automation</w:t>
      </w:r>
    </w:p>
    <w:p>
      <w:pPr/>
      <w:r>
        <w:rPr>
          <w:rFonts w:ascii="Times" w:hAnsi="Times" w:cs="Times"/>
          <w:sz w:val="32"/>
          <w:sz-cs w:val="32"/>
          <w:spacing w:val="0"/>
          <w:color w:val="000000"/>
        </w:rPr>
        <w:t xml:space="preserve">This means that the architecture is not just a “runtime design”, but also a provisioning + deployment system.</w:t>
      </w:r>
    </w:p>
    <w:p>
      <w:pPr/>
      <w:r>
        <w:rPr>
          <w:rFonts w:ascii="Times" w:hAnsi="Times" w:cs="Times"/>
          <w:sz w:val="32"/>
          <w:sz-cs w:val="32"/>
          <w:spacing w:val="0"/>
          <w:color w:val="000000"/>
        </w:rPr>
        <w:t xml:space="preserve">4. Security model consistency</w:t>
      </w:r>
    </w:p>
    <w:p>
      <w:pPr/>
      <w:r>
        <w:rPr>
          <w:rFonts w:ascii="Times" w:hAnsi="Times" w:cs="Times"/>
          <w:sz w:val="32"/>
          <w:sz-cs w:val="32"/>
          <w:spacing w:val="0"/>
          <w:color w:val="000000"/>
        </w:rPr>
        <w:t xml:space="preserve">IAM isolation (accounts + IRSA)</w:t>
      </w:r>
    </w:p>
    <w:p>
      <w:pPr/>
      <w:r>
        <w:rPr>
          <w:rFonts w:ascii="Times" w:hAnsi="Times" w:cs="Times"/>
          <w:sz w:val="32"/>
          <w:sz-cs w:val="32"/>
          <w:spacing w:val="0"/>
          <w:color w:val="000000"/>
        </w:rPr>
        <w:t xml:space="preserve">network isolation (SG + NACL + TGW segmentation)</w:t>
      </w:r>
    </w:p>
    <w:p>
      <w:pPr/>
      <w:r>
        <w:rPr>
          <w:rFonts w:ascii="Times" w:hAnsi="Times" w:cs="Times"/>
          <w:sz w:val="32"/>
          <w:sz-cs w:val="32"/>
          <w:spacing w:val="0"/>
          <w:color w:val="000000"/>
        </w:rPr>
        <w:t xml:space="preserve">data isolation (per-client DB + KMS keys)</w:t>
      </w:r>
    </w:p>
    <w:p>
      <w:pPr/>
      <w:r>
        <w:rPr>
          <w:rFonts w:ascii="Times" w:hAnsi="Times" w:cs="Times"/>
          <w:sz w:val="32"/>
          <w:sz-cs w:val="32"/>
          <w:spacing w:val="0"/>
          <w:color w:val="000000"/>
        </w:rPr>
        <w:t xml:space="preserve">audit layer (CloudTrail + Config + GuardDuty)</w:t>
      </w:r>
    </w:p>
    <w:p>
      <w:pPr/>
      <w:r>
        <w:rPr>
          <w:rFonts w:ascii="Times" w:hAnsi="Times" w:cs="Times"/>
          <w:sz w:val="32"/>
          <w:sz-cs w:val="32"/>
          <w:spacing w:val="0"/>
          <w:color w:val="000000"/>
        </w:rPr>
        <w:t xml:space="preserve"/>
      </w:r>
    </w:p>
    <w:p>
      <w:pPr/>
      <w:r>
        <w:rPr>
          <w:rFonts w:ascii="Times" w:hAnsi="Times" w:cs="Times"/>
          <w:sz w:val="40"/>
          <w:sz-cs w:val="40"/>
          <w:b/>
          <w:spacing w:val="0"/>
        </w:rPr>
        <w:t xml:space="preserve">Clarity</w:t>
      </w:r>
      <w:r>
        <w:rPr>
          <w:rFonts w:ascii="Times" w:hAnsi="Times" w:cs="Times"/>
          <w:sz w:val="32"/>
          <w:sz-cs w:val="32"/>
          <w:spacing w:val="0"/>
          <w:color w:val="000000"/>
        </w:rPr>
        <w:t xml:space="preserve"/>
      </w:r>
    </w:p>
    <w:p>
      <w:pPr>
        <w:spacing w:after="240"/>
      </w:pPr>
      <w:r>
        <w:rPr>
          <w:rFonts w:ascii="Times" w:hAnsi="Times" w:cs="Times"/>
          <w:sz w:val="32"/>
          <w:sz-cs w:val="32"/>
          <w:spacing w:val="0"/>
        </w:rPr>
        <w:t xml:space="preserve">Yes a colleague could build from this without asking me questions.The document covers every layer in order: why multi-account, how the network is laid out (exact CIDRs, subnet tiers, routing rules), how traffic flows in and out, how secrets and credentials work, how a new client gets provisioned end-to-end. The diagram in Deliverable 1 shows the full architecture visually so there's no ambiguity about what connects to what.Where I made assumptions I stated them explicitly  eu-central-1 as the region, two AZs, EKS over ECS. A colleague reading this knows exactly what was decided, what was left open, and why.</w:t>
      </w:r>
      <w:r>
        <w:rPr>
          <w:rFonts w:ascii="Times" w:hAnsi="Times" w:cs="Times"/>
          <w:sz w:val="24"/>
          <w:sz-cs w:val="24"/>
          <w:spacing w:val="0"/>
        </w:rPr>
        <w:t xml:space="preserve"/>
      </w:r>
    </w:p>
    <w:p>
      <w:pPr/>
      <w:r>
        <w:rPr>
          <w:rFonts w:ascii="Times" w:hAnsi="Times" w:cs="Times"/>
          <w:sz w:val="32"/>
          <w:sz-cs w:val="32"/>
          <w:spacing w:val="0"/>
          <w:color w:val="000000"/>
        </w:rPr>
        <w:t xml:space="preserve"/>
      </w:r>
    </w:p>
    <w:p>
      <w:pPr>
        <w:spacing w:after="280"/>
      </w:pPr>
      <w:r>
        <w:rPr>
          <w:rFonts w:ascii="Times" w:hAnsi="Times" w:cs="Times"/>
          <w:sz w:val="36"/>
          <w:sz-cs w:val="36"/>
          <w:b/>
          <w:spacing w:val="0"/>
        </w:rPr>
        <w:t xml:space="preserve">Honest Gaps</w:t>
      </w:r>
    </w:p>
    <w:p>
      <w:pPr>
        <w:spacing w:after="280"/>
      </w:pPr>
      <w:r>
        <w:rPr>
          <w:rFonts w:ascii="Times" w:hAnsi="Times" w:cs="Times"/>
          <w:sz w:val="32"/>
          <w:sz-cs w:val="32"/>
          <w:spacing w:val="0"/>
        </w:rPr>
        <w:t xml:space="preserve">Yes, most of the design is based on researched AWS best practices and trade-off analysis across architecture patterns.</w:t>
      </w:r>
    </w:p>
    <w:p>
      <w:pPr/>
      <w:r>
        <w:rPr>
          <w:rFonts w:ascii="Times" w:hAnsi="Times" w:cs="Times"/>
          <w:sz w:val="32"/>
          <w:sz-cs w:val="32"/>
          <w:spacing w:val="0"/>
        </w:rPr>
        <w:t xml:space="preserve"/>
      </w:r>
    </w:p>
    <w:p>
      <w:pPr/>
      <w:r>
        <w:rPr>
          <w:rFonts w:ascii="Times" w:hAnsi="Times" w:cs="Times"/>
          <w:sz w:val="32"/>
          <w:sz-cs w:val="32"/>
          <w:spacing w:val="0"/>
        </w:rPr>
        <w:t xml:space="preserve"/>
      </w:r>
    </w:p>
    <w:p>
      <w:pPr/>
      <w:r>
        <w:rPr>
          <w:rFonts w:ascii="Times" w:hAnsi="Times" w:cs="Times"/>
          <w:sz w:val="32"/>
          <w:sz-cs w:val="32"/>
        </w:rPr>
        <w:t xml:space="preserve"/>
      </w:r>
    </w:p>
    <w:p>
      <w:pPr/>
      <w:r>
        <w:rPr>
          <w:rFonts w:ascii="Times" w:hAnsi="Times" w:cs="Times"/>
          <w:sz w:val="36"/>
          <w:sz-cs w:val="36"/>
          <w:b/>
          <w:color w:val="011F67"/>
        </w:rPr>
        <w:t xml:space="preserve"/>
      </w:r>
    </w:p>
    <w:sectPr>
      <w:pgSz w:w="12240" w:h="15840"/>
      <w:pgMar w:top="900" w:right="1000" w:bottom="900" w:left="10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