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Seed-count stability analysis</w:t>
      </w:r>
    </w:p>
    <w:p>
      <w:r>
        <w:t>Partly. The secondary fixed-split benefits become smaller with ten seeds, especially NH3. The primary multi-fold results do not weaken systematically: NH3/H2 improve slightly, while CO/ethylene attenuate slightly. Drift partition 8 weakens, partition 9 is stable, and partition 10 has no clear ten-seed transfer benefit.</w:t>
      </w:r>
    </w:p>
    <w:p>
      <w:r>
        <w:t>These comparisons use prefixes of the same corrected protocol in the predefined order 42, 142, …, 942. They do not compare a favorable selected three-seed subset against ten seeds. Positive percentages mean reduced MAE versus scratch. All ten seeds remain in the final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Evaluation</w:t>
            </w:r>
          </w:p>
        </w:tc>
        <w:tc>
          <w:tcPr>
            <w:tcW w:type="dxa" w:w="1728"/>
          </w:tcPr>
          <w:p>
            <w:r>
              <w:t>Gas</w:t>
            </w:r>
          </w:p>
        </w:tc>
        <w:tc>
          <w:tcPr>
            <w:tcW w:type="dxa" w:w="1728"/>
          </w:tcPr>
          <w:p>
            <w:r>
              <w:t>First 3 reduction</w:t>
            </w:r>
          </w:p>
        </w:tc>
        <w:tc>
          <w:tcPr>
            <w:tcW w:type="dxa" w:w="1728"/>
          </w:tcPr>
          <w:p>
            <w:r>
              <w:t>All 10 reduction</w:t>
            </w:r>
          </w:p>
        </w:tc>
        <w:tc>
          <w:tcPr>
            <w:tcW w:type="dxa" w:w="1728"/>
          </w:tcPr>
          <w:p>
            <w:r>
              <w:t>Later 7 reduction</w:t>
            </w:r>
          </w:p>
        </w:tc>
      </w:tr>
      <w:tr>
        <w:tc>
          <w:tcPr>
            <w:tcW w:type="dxa" w:w="1728"/>
          </w:tcPr>
          <w:p>
            <w:r>
              <w:t>primary_multifold</w:t>
            </w:r>
          </w:p>
        </w:tc>
        <w:tc>
          <w:tcPr>
            <w:tcW w:type="dxa" w:w="1728"/>
          </w:tcPr>
          <w:p>
            <w:r>
              <w:t>CO</w:t>
            </w:r>
          </w:p>
        </w:tc>
        <w:tc>
          <w:tcPr>
            <w:tcW w:type="dxa" w:w="1728"/>
          </w:tcPr>
          <w:p>
            <w:r>
              <w:t>28.48%</w:t>
            </w:r>
          </w:p>
        </w:tc>
        <w:tc>
          <w:tcPr>
            <w:tcW w:type="dxa" w:w="1728"/>
          </w:tcPr>
          <w:p>
            <w:r>
              <w:t>27.50%</w:t>
            </w:r>
          </w:p>
        </w:tc>
        <w:tc>
          <w:tcPr>
            <w:tcW w:type="dxa" w:w="1728"/>
          </w:tcPr>
          <w:p>
            <w:r>
              <w:t>27.06%</w:t>
            </w:r>
          </w:p>
        </w:tc>
      </w:tr>
      <w:tr>
        <w:tc>
          <w:tcPr>
            <w:tcW w:type="dxa" w:w="1728"/>
          </w:tcPr>
          <w:p>
            <w:r>
              <w:t>primary_multifold</w:t>
            </w:r>
          </w:p>
        </w:tc>
        <w:tc>
          <w:tcPr>
            <w:tcW w:type="dxa" w:w="1728"/>
          </w:tcPr>
          <w:p>
            <w:r>
              <w:t>Ethylene</w:t>
            </w:r>
          </w:p>
        </w:tc>
        <w:tc>
          <w:tcPr>
            <w:tcW w:type="dxa" w:w="1728"/>
          </w:tcPr>
          <w:p>
            <w:r>
              <w:t>26.09%</w:t>
            </w:r>
          </w:p>
        </w:tc>
        <w:tc>
          <w:tcPr>
            <w:tcW w:type="dxa" w:w="1728"/>
          </w:tcPr>
          <w:p>
            <w:r>
              <w:t>25.73%</w:t>
            </w:r>
          </w:p>
        </w:tc>
        <w:tc>
          <w:tcPr>
            <w:tcW w:type="dxa" w:w="1728"/>
          </w:tcPr>
          <w:p>
            <w:r>
              <w:t>25.57%</w:t>
            </w:r>
          </w:p>
        </w:tc>
      </w:tr>
      <w:tr>
        <w:tc>
          <w:tcPr>
            <w:tcW w:type="dxa" w:w="1728"/>
          </w:tcPr>
          <w:p>
            <w:r>
              <w:t>primary_multifold</w:t>
            </w:r>
          </w:p>
        </w:tc>
        <w:tc>
          <w:tcPr>
            <w:tcW w:type="dxa" w:w="1728"/>
          </w:tcPr>
          <w:p>
            <w:r>
              <w:t>H2</w:t>
            </w:r>
          </w:p>
        </w:tc>
        <w:tc>
          <w:tcPr>
            <w:tcW w:type="dxa" w:w="1728"/>
          </w:tcPr>
          <w:p>
            <w:r>
              <w:t>18.40%</w:t>
            </w:r>
          </w:p>
        </w:tc>
        <w:tc>
          <w:tcPr>
            <w:tcW w:type="dxa" w:w="1728"/>
          </w:tcPr>
          <w:p>
            <w:r>
              <w:t>21.49%</w:t>
            </w:r>
          </w:p>
        </w:tc>
        <w:tc>
          <w:tcPr>
            <w:tcW w:type="dxa" w:w="1728"/>
          </w:tcPr>
          <w:p>
            <w:r>
              <w:t>22.72%</w:t>
            </w:r>
          </w:p>
        </w:tc>
      </w:tr>
      <w:tr>
        <w:tc>
          <w:tcPr>
            <w:tcW w:type="dxa" w:w="1728"/>
          </w:tcPr>
          <w:p>
            <w:r>
              <w:t>primary_multifold</w:t>
            </w:r>
          </w:p>
        </w:tc>
        <w:tc>
          <w:tcPr>
            <w:tcW w:type="dxa" w:w="1728"/>
          </w:tcPr>
          <w:p>
            <w:r>
              <w:t>NH3</w:t>
            </w:r>
          </w:p>
        </w:tc>
        <w:tc>
          <w:tcPr>
            <w:tcW w:type="dxa" w:w="1728"/>
          </w:tcPr>
          <w:p>
            <w:r>
              <w:t>13.30%</w:t>
            </w:r>
          </w:p>
        </w:tc>
        <w:tc>
          <w:tcPr>
            <w:tcW w:type="dxa" w:w="1728"/>
          </w:tcPr>
          <w:p>
            <w:r>
              <w:t>13.91%</w:t>
            </w:r>
          </w:p>
        </w:tc>
        <w:tc>
          <w:tcPr>
            <w:tcW w:type="dxa" w:w="1728"/>
          </w:tcPr>
          <w:p>
            <w:r>
              <w:t>14.15%</w:t>
            </w:r>
          </w:p>
        </w:tc>
      </w:tr>
      <w:tr>
        <w:tc>
          <w:tcPr>
            <w:tcW w:type="dxa" w:w="1728"/>
          </w:tcPr>
          <w:p>
            <w:r>
              <w:t>fixed_split</w:t>
            </w:r>
          </w:p>
        </w:tc>
        <w:tc>
          <w:tcPr>
            <w:tcW w:type="dxa" w:w="1728"/>
          </w:tcPr>
          <w:p>
            <w:r>
              <w:t>CO</w:t>
            </w:r>
          </w:p>
        </w:tc>
        <w:tc>
          <w:tcPr>
            <w:tcW w:type="dxa" w:w="1728"/>
          </w:tcPr>
          <w:p>
            <w:r>
              <w:t>27.23%</w:t>
            </w:r>
          </w:p>
        </w:tc>
        <w:tc>
          <w:tcPr>
            <w:tcW w:type="dxa" w:w="1728"/>
          </w:tcPr>
          <w:p>
            <w:r>
              <w:t>25.43%</w:t>
            </w:r>
          </w:p>
        </w:tc>
        <w:tc>
          <w:tcPr>
            <w:tcW w:type="dxa" w:w="1728"/>
          </w:tcPr>
          <w:p>
            <w:r>
              <w:t>24.71%</w:t>
            </w:r>
          </w:p>
        </w:tc>
      </w:tr>
      <w:tr>
        <w:tc>
          <w:tcPr>
            <w:tcW w:type="dxa" w:w="1728"/>
          </w:tcPr>
          <w:p>
            <w:r>
              <w:t>fixed_split</w:t>
            </w:r>
          </w:p>
        </w:tc>
        <w:tc>
          <w:tcPr>
            <w:tcW w:type="dxa" w:w="1728"/>
          </w:tcPr>
          <w:p>
            <w:r>
              <w:t>Ethylene</w:t>
            </w:r>
          </w:p>
        </w:tc>
        <w:tc>
          <w:tcPr>
            <w:tcW w:type="dxa" w:w="1728"/>
          </w:tcPr>
          <w:p>
            <w:r>
              <w:t>31.14%</w:t>
            </w:r>
          </w:p>
        </w:tc>
        <w:tc>
          <w:tcPr>
            <w:tcW w:type="dxa" w:w="1728"/>
          </w:tcPr>
          <w:p>
            <w:r>
              <w:t>24.31%</w:t>
            </w:r>
          </w:p>
        </w:tc>
        <w:tc>
          <w:tcPr>
            <w:tcW w:type="dxa" w:w="1728"/>
          </w:tcPr>
          <w:p>
            <w:r>
              <w:t>21.01%</w:t>
            </w:r>
          </w:p>
        </w:tc>
      </w:tr>
      <w:tr>
        <w:tc>
          <w:tcPr>
            <w:tcW w:type="dxa" w:w="1728"/>
          </w:tcPr>
          <w:p>
            <w:r>
              <w:t>fixed_split</w:t>
            </w:r>
          </w:p>
        </w:tc>
        <w:tc>
          <w:tcPr>
            <w:tcW w:type="dxa" w:w="1728"/>
          </w:tcPr>
          <w:p>
            <w:r>
              <w:t>H2</w:t>
            </w:r>
          </w:p>
        </w:tc>
        <w:tc>
          <w:tcPr>
            <w:tcW w:type="dxa" w:w="1728"/>
          </w:tcPr>
          <w:p>
            <w:r>
              <w:t>27.22%</w:t>
            </w:r>
          </w:p>
        </w:tc>
        <w:tc>
          <w:tcPr>
            <w:tcW w:type="dxa" w:w="1728"/>
          </w:tcPr>
          <w:p>
            <w:r>
              <w:t>23.29%</w:t>
            </w:r>
          </w:p>
        </w:tc>
        <w:tc>
          <w:tcPr>
            <w:tcW w:type="dxa" w:w="1728"/>
          </w:tcPr>
          <w:p>
            <w:r>
              <w:t>21.52%</w:t>
            </w:r>
          </w:p>
        </w:tc>
      </w:tr>
      <w:tr>
        <w:tc>
          <w:tcPr>
            <w:tcW w:type="dxa" w:w="1728"/>
          </w:tcPr>
          <w:p>
            <w:r>
              <w:t>fixed_split</w:t>
            </w:r>
          </w:p>
        </w:tc>
        <w:tc>
          <w:tcPr>
            <w:tcW w:type="dxa" w:w="1728"/>
          </w:tcPr>
          <w:p>
            <w:r>
              <w:t>NH3</w:t>
            </w:r>
          </w:p>
        </w:tc>
        <w:tc>
          <w:tcPr>
            <w:tcW w:type="dxa" w:w="1728"/>
          </w:tcPr>
          <w:p>
            <w:r>
              <w:t>32.44%</w:t>
            </w:r>
          </w:p>
        </w:tc>
        <w:tc>
          <w:tcPr>
            <w:tcW w:type="dxa" w:w="1728"/>
          </w:tcPr>
          <w:p>
            <w:r>
              <w:t>19.59%</w:t>
            </w:r>
          </w:p>
        </w:tc>
        <w:tc>
          <w:tcPr>
            <w:tcW w:type="dxa" w:w="1728"/>
          </w:tcPr>
          <w:p>
            <w:r>
              <w:t>12.96%</w:t>
            </w:r>
          </w:p>
        </w:tc>
      </w:tr>
      <w:tr>
        <w:tc>
          <w:tcPr>
            <w:tcW w:type="dxa" w:w="1728"/>
          </w:tcPr>
          <w:p>
            <w:r>
              <w:t>drift_partition_8</w:t>
            </w:r>
          </w:p>
        </w:tc>
        <w:tc>
          <w:tcPr>
            <w:tcW w:type="dxa" w:w="1728"/>
          </w:tcPr>
          <w:p>
            <w:r>
              <w:t>MacroMAE</w:t>
            </w:r>
          </w:p>
        </w:tc>
        <w:tc>
          <w:tcPr>
            <w:tcW w:type="dxa" w:w="1728"/>
          </w:tcPr>
          <w:p>
            <w:r>
              <w:t>25.61%</w:t>
            </w:r>
          </w:p>
        </w:tc>
        <w:tc>
          <w:tcPr>
            <w:tcW w:type="dxa" w:w="1728"/>
          </w:tcPr>
          <w:p>
            <w:r>
              <w:t>18.80%</w:t>
            </w:r>
          </w:p>
        </w:tc>
        <w:tc>
          <w:tcPr>
            <w:tcW w:type="dxa" w:w="1728"/>
          </w:tcPr>
          <w:p>
            <w:r>
              <w:t>15.63%</w:t>
            </w:r>
          </w:p>
        </w:tc>
      </w:tr>
      <w:tr>
        <w:tc>
          <w:tcPr>
            <w:tcW w:type="dxa" w:w="1728"/>
          </w:tcPr>
          <w:p>
            <w:r>
              <w:t>drift_partition_9</w:t>
            </w:r>
          </w:p>
        </w:tc>
        <w:tc>
          <w:tcPr>
            <w:tcW w:type="dxa" w:w="1728"/>
          </w:tcPr>
          <w:p>
            <w:r>
              <w:t>MacroMAE</w:t>
            </w:r>
          </w:p>
        </w:tc>
        <w:tc>
          <w:tcPr>
            <w:tcW w:type="dxa" w:w="1728"/>
          </w:tcPr>
          <w:p>
            <w:r>
              <w:t>17.97%</w:t>
            </w:r>
          </w:p>
        </w:tc>
        <w:tc>
          <w:tcPr>
            <w:tcW w:type="dxa" w:w="1728"/>
          </w:tcPr>
          <w:p>
            <w:r>
              <w:t>18.35%</w:t>
            </w:r>
          </w:p>
        </w:tc>
        <w:tc>
          <w:tcPr>
            <w:tcW w:type="dxa" w:w="1728"/>
          </w:tcPr>
          <w:p>
            <w:r>
              <w:t>18.52%</w:t>
            </w:r>
          </w:p>
        </w:tc>
      </w:tr>
      <w:tr>
        <w:tc>
          <w:tcPr>
            <w:tcW w:type="dxa" w:w="1728"/>
          </w:tcPr>
          <w:p>
            <w:r>
              <w:t>drift_partition_10</w:t>
            </w:r>
          </w:p>
        </w:tc>
        <w:tc>
          <w:tcPr>
            <w:tcW w:type="dxa" w:w="1728"/>
          </w:tcPr>
          <w:p>
            <w:r>
              <w:t>MacroMAE</w:t>
            </w:r>
          </w:p>
        </w:tc>
        <w:tc>
          <w:tcPr>
            <w:tcW w:type="dxa" w:w="1728"/>
          </w:tcPr>
          <w:p>
            <w:r>
              <w:t>-11.95%</w:t>
            </w:r>
          </w:p>
        </w:tc>
        <w:tc>
          <w:tcPr>
            <w:tcW w:type="dxa" w:w="1728"/>
          </w:tcPr>
          <w:p>
            <w:r>
              <w:t>-0.50%</w:t>
            </w:r>
          </w:p>
        </w:tc>
        <w:tc>
          <w:tcPr>
            <w:tcW w:type="dxa" w:w="1728"/>
          </w:tcPr>
          <w:p>
            <w:r>
              <w:t>4.17%</w:t>
            </w:r>
          </w:p>
        </w:tc>
      </w:tr>
    </w:tbl>
    <w:p>
      <w:pPr>
        <w:pStyle w:val="Heading1"/>
      </w:pPr>
      <w:r>
        <w:t>Primary uncertainty after ten seeds</w:t>
      </w:r>
    </w:p>
    <w:tbl>
      <w:tblPr>
        <w:tblStyle w:val="TableGrid"/>
        <w:tblW w:type="auto" w:w="0"/>
        <w:tblLook w:firstColumn="1" w:firstRow="1" w:lastColumn="0" w:lastRow="0" w:noHBand="0" w:noVBand="1" w:val="04A0"/>
      </w:tblPr>
      <w:tblGrid>
        <w:gridCol w:w="2880"/>
        <w:gridCol w:w="2880"/>
        <w:gridCol w:w="2880"/>
      </w:tblGrid>
      <w:tr>
        <w:tc>
          <w:tcPr>
            <w:tcW w:type="dxa" w:w="2880"/>
          </w:tcPr>
          <w:p>
            <w:r>
              <w:t>Gas</w:t>
            </w:r>
          </w:p>
        </w:tc>
        <w:tc>
          <w:tcPr>
            <w:tcW w:type="dxa" w:w="2880"/>
          </w:tcPr>
          <w:p>
            <w:r>
              <w:t>Paired MAE reduction (ppm)</w:t>
            </w:r>
          </w:p>
        </w:tc>
        <w:tc>
          <w:tcPr>
            <w:tcW w:type="dxa" w:w="2880"/>
          </w:tcPr>
          <w:p>
            <w:r>
              <w:t>95% seed/fold interval (ppm)</w:t>
            </w:r>
          </w:p>
        </w:tc>
      </w:tr>
      <w:tr>
        <w:tc>
          <w:tcPr>
            <w:tcW w:type="dxa" w:w="2880"/>
          </w:tcPr>
          <w:p>
            <w:r>
              <w:t>CO</w:t>
            </w:r>
          </w:p>
        </w:tc>
        <w:tc>
          <w:tcPr>
            <w:tcW w:type="dxa" w:w="2880"/>
          </w:tcPr>
          <w:p>
            <w:r>
              <w:t>24.737</w:t>
            </w:r>
          </w:p>
        </w:tc>
        <w:tc>
          <w:tcPr>
            <w:tcW w:type="dxa" w:w="2880"/>
          </w:tcPr>
          <w:p>
            <w:r>
              <w:t>[12.850, 37.527]</w:t>
            </w:r>
          </w:p>
        </w:tc>
      </w:tr>
      <w:tr>
        <w:tc>
          <w:tcPr>
            <w:tcW w:type="dxa" w:w="2880"/>
          </w:tcPr>
          <w:p>
            <w:r>
              <w:t>Ethylene</w:t>
            </w:r>
          </w:p>
        </w:tc>
        <w:tc>
          <w:tcPr>
            <w:tcW w:type="dxa" w:w="2880"/>
          </w:tcPr>
          <w:p>
            <w:r>
              <w:t>0.672</w:t>
            </w:r>
          </w:p>
        </w:tc>
        <w:tc>
          <w:tcPr>
            <w:tcW w:type="dxa" w:w="2880"/>
          </w:tcPr>
          <w:p>
            <w:r>
              <w:t>[0.247, 1.143]</w:t>
            </w:r>
          </w:p>
        </w:tc>
      </w:tr>
      <w:tr>
        <w:tc>
          <w:tcPr>
            <w:tcW w:type="dxa" w:w="2880"/>
          </w:tcPr>
          <w:p>
            <w:r>
              <w:t>H2</w:t>
            </w:r>
          </w:p>
        </w:tc>
        <w:tc>
          <w:tcPr>
            <w:tcW w:type="dxa" w:w="2880"/>
          </w:tcPr>
          <w:p>
            <w:r>
              <w:t>10.575</w:t>
            </w:r>
          </w:p>
        </w:tc>
        <w:tc>
          <w:tcPr>
            <w:tcW w:type="dxa" w:w="2880"/>
          </w:tcPr>
          <w:p>
            <w:r>
              <w:t>[3.566, 18.776]</w:t>
            </w:r>
          </w:p>
        </w:tc>
      </w:tr>
      <w:tr>
        <w:tc>
          <w:tcPr>
            <w:tcW w:type="dxa" w:w="2880"/>
          </w:tcPr>
          <w:p>
            <w:r>
              <w:t>NH3</w:t>
            </w:r>
          </w:p>
        </w:tc>
        <w:tc>
          <w:tcPr>
            <w:tcW w:type="dxa" w:w="2880"/>
          </w:tcPr>
          <w:p>
            <w:r>
              <w:t>4.312</w:t>
            </w:r>
          </w:p>
        </w:tc>
        <w:tc>
          <w:tcPr>
            <w:tcW w:type="dxa" w:w="2880"/>
          </w:tcPr>
          <w:p>
            <w:r>
              <w:t>[0.381, 8.305]</w:t>
            </w:r>
          </w:p>
        </w:tc>
      </w:tr>
    </w:tbl>
    <w:p>
      <w:r>
        <w:t>All four primary intervals exclude zero, with NH3 closest to zero. They resample paired seeds and folds, condition on the observed exposures, and do not create independent acquisition evidence. The full-prefix CSV and random-order envelope show variability at every count; the envelope is an order/subset diagnostic, not a population confidence interval.</w:t>
      </w:r>
    </w:p>
    <w:p>
      <w:pPr>
        <w:pStyle w:val="Heading1"/>
      </w:pPr>
      <w:r>
        <w:t>Comparison with the historical manuscript</w:t>
      </w:r>
    </w:p>
    <w:tbl>
      <w:tblPr>
        <w:tblStyle w:val="TableGrid"/>
        <w:tblW w:type="auto" w:w="0"/>
        <w:tblLook w:firstColumn="1" w:firstRow="1" w:lastColumn="0" w:lastRow="0" w:noHBand="0" w:noVBand="1" w:val="04A0"/>
      </w:tblPr>
      <w:tblGrid>
        <w:gridCol w:w="2880"/>
        <w:gridCol w:w="2880"/>
        <w:gridCol w:w="2880"/>
      </w:tblGrid>
      <w:tr>
        <w:tc>
          <w:tcPr>
            <w:tcW w:type="dxa" w:w="2880"/>
          </w:tcPr>
          <w:p>
            <w:r>
              <w:t>Gas</w:t>
            </w:r>
          </w:p>
        </w:tc>
        <w:tc>
          <w:tcPr>
            <w:tcW w:type="dxa" w:w="2880"/>
          </w:tcPr>
          <w:p>
            <w:r>
              <w:t>Historical 3-repeat reduction</w:t>
            </w:r>
          </w:p>
        </w:tc>
        <w:tc>
          <w:tcPr>
            <w:tcW w:type="dxa" w:w="2880"/>
          </w:tcPr>
          <w:p>
            <w:r>
              <w:t>Revised 10-seed reduction</w:t>
            </w:r>
          </w:p>
        </w:tc>
      </w:tr>
      <w:tr>
        <w:tc>
          <w:tcPr>
            <w:tcW w:type="dxa" w:w="2880"/>
          </w:tcPr>
          <w:p>
            <w:r>
              <w:t>CO</w:t>
            </w:r>
          </w:p>
        </w:tc>
        <w:tc>
          <w:tcPr>
            <w:tcW w:type="dxa" w:w="2880"/>
          </w:tcPr>
          <w:p>
            <w:r>
              <w:t>20.41%</w:t>
            </w:r>
          </w:p>
        </w:tc>
        <w:tc>
          <w:tcPr>
            <w:tcW w:type="dxa" w:w="2880"/>
          </w:tcPr>
          <w:p>
            <w:r>
              <w:t>27.50%</w:t>
            </w:r>
          </w:p>
        </w:tc>
      </w:tr>
      <w:tr>
        <w:tc>
          <w:tcPr>
            <w:tcW w:type="dxa" w:w="2880"/>
          </w:tcPr>
          <w:p>
            <w:r>
              <w:t>Ethylene</w:t>
            </w:r>
          </w:p>
        </w:tc>
        <w:tc>
          <w:tcPr>
            <w:tcW w:type="dxa" w:w="2880"/>
          </w:tcPr>
          <w:p>
            <w:r>
              <w:t>14.55%</w:t>
            </w:r>
          </w:p>
        </w:tc>
        <w:tc>
          <w:tcPr>
            <w:tcW w:type="dxa" w:w="2880"/>
          </w:tcPr>
          <w:p>
            <w:r>
              <w:t>25.73%</w:t>
            </w:r>
          </w:p>
        </w:tc>
      </w:tr>
      <w:tr>
        <w:tc>
          <w:tcPr>
            <w:tcW w:type="dxa" w:w="2880"/>
          </w:tcPr>
          <w:p>
            <w:r>
              <w:t>H2</w:t>
            </w:r>
          </w:p>
        </w:tc>
        <w:tc>
          <w:tcPr>
            <w:tcW w:type="dxa" w:w="2880"/>
          </w:tcPr>
          <w:p>
            <w:r>
              <w:t>20.11%</w:t>
            </w:r>
          </w:p>
        </w:tc>
        <w:tc>
          <w:tcPr>
            <w:tcW w:type="dxa" w:w="2880"/>
          </w:tcPr>
          <w:p>
            <w:r>
              <w:t>21.49%</w:t>
            </w:r>
          </w:p>
        </w:tc>
      </w:tr>
      <w:tr>
        <w:tc>
          <w:tcPr>
            <w:tcW w:type="dxa" w:w="2880"/>
          </w:tcPr>
          <w:p>
            <w:r>
              <w:t>NH3</w:t>
            </w:r>
          </w:p>
        </w:tc>
        <w:tc>
          <w:tcPr>
            <w:tcW w:type="dxa" w:w="2880"/>
          </w:tcPr>
          <w:p>
            <w:r>
              <w:t>16.39%</w:t>
            </w:r>
          </w:p>
        </w:tc>
        <w:tc>
          <w:tcPr>
            <w:tcW w:type="dxa" w:w="2880"/>
          </w:tcPr>
          <w:p>
            <w:r>
              <w:t>13.91%</w:t>
            </w:r>
          </w:p>
        </w:tc>
      </w:tr>
    </w:tbl>
    <w:p>
      <w:r>
        <w:t>This historical comparison is not a seed-only experiment. The revision changes policy reporting, uses matched fitting/validation holdouts, and uses full available adaptation coverage in rolling folds. Thus the same-protocol prefix comparison above is the appropriate test of adding seeds. More seeds characterize initialization, training, calibration-design and holdout variability; they cannot compensate for a small number of independently acquired test partitions.</w:t>
      </w:r>
    </w:p>
    <w:p>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seed_stability.png"/>
                    <pic:cNvPicPr/>
                  </pic:nvPicPr>
                  <pic:blipFill>
                    <a:blip r:embed="rId9"/>
                    <a:stretch>
                      <a:fillRect/>
                    </a:stretch>
                  </pic:blipFill>
                  <pic:spPr>
                    <a:xfrm>
                      <a:off x="0" y="0"/>
                      <a:ext cx="5852160" cy="4064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