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1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BB370" w14:textId="77777777" w:rsidR="003B16D2" w:rsidRPr="003B16D2" w:rsidRDefault="003B16D2" w:rsidP="003B16D2">
      <w:pPr>
        <w:spacing w:after="0"/>
        <w:jc w:val="center"/>
        <w:rPr>
          <w:b/>
          <w:color w:val="808080" w:themeColor="background1" w:themeShade="80"/>
          <w:sz w:val="28"/>
        </w:rPr>
      </w:pPr>
      <w:r w:rsidRPr="003B16D2">
        <w:rPr>
          <w:b/>
          <w:color w:val="808080" w:themeColor="background1" w:themeShade="80"/>
          <w:sz w:val="28"/>
        </w:rPr>
        <w:t>Predict Data Report 2018</w:t>
      </w:r>
    </w:p>
    <w:p w14:paraId="09FFCA80" w14:textId="4579D813" w:rsidR="003B16D2" w:rsidRDefault="003B16D2" w:rsidP="003B16D2">
      <w:pPr>
        <w:spacing w:after="0"/>
        <w:jc w:val="center"/>
        <w:rPr>
          <w:b/>
          <w:color w:val="808080" w:themeColor="background1" w:themeShade="80"/>
          <w:sz w:val="28"/>
        </w:rPr>
      </w:pPr>
      <w:r w:rsidRPr="003B16D2">
        <w:rPr>
          <w:b/>
          <w:color w:val="808080" w:themeColor="background1" w:themeShade="80"/>
          <w:sz w:val="28"/>
        </w:rPr>
        <w:t xml:space="preserve">Data Lions </w:t>
      </w:r>
    </w:p>
    <w:p w14:paraId="6E6334A1" w14:textId="77777777" w:rsidR="005C11A8" w:rsidRPr="003B16D2" w:rsidRDefault="005C11A8" w:rsidP="003B16D2">
      <w:pPr>
        <w:spacing w:after="0"/>
        <w:jc w:val="center"/>
        <w:rPr>
          <w:b/>
          <w:color w:val="A6A6A6" w:themeColor="background1" w:themeShade="A6"/>
          <w:sz w:val="28"/>
        </w:rPr>
      </w:pPr>
    </w:p>
    <w:p w14:paraId="177852C4" w14:textId="77777777" w:rsidR="003B16D2" w:rsidRDefault="004D425F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Superstore is a multi-segment retail store with an annual turnover of more than 2 million dollars. This report intends to highlight key areas across segments using a S.W.O.T. analysis</w:t>
      </w:r>
    </w:p>
    <w:p w14:paraId="7E0BDC73" w14:textId="5848B879" w:rsidR="003B16D2" w:rsidRPr="00C20370" w:rsidRDefault="00D233D9" w:rsidP="00D233D9">
      <w:pPr>
        <w:pStyle w:val="ListParagraph"/>
        <w:numPr>
          <w:ilvl w:val="0"/>
          <w:numId w:val="2"/>
        </w:numPr>
        <w:rPr>
          <w:color w:val="171717" w:themeColor="background2" w:themeShade="1A"/>
        </w:rPr>
      </w:pPr>
      <w:r w:rsidRPr="00C20370">
        <w:rPr>
          <w:b/>
          <w:noProof/>
          <w:color w:val="171717" w:themeColor="background2" w:themeShade="1A"/>
        </w:rPr>
        <w:drawing>
          <wp:anchor distT="0" distB="0" distL="114300" distR="114300" simplePos="0" relativeHeight="251658240" behindDoc="0" locked="0" layoutInCell="1" allowOverlap="1" wp14:anchorId="2C92F7BE" wp14:editId="7A8C51FC">
            <wp:simplePos x="0" y="0"/>
            <wp:positionH relativeFrom="margin">
              <wp:align>right</wp:align>
            </wp:positionH>
            <wp:positionV relativeFrom="paragraph">
              <wp:posOffset>467561</wp:posOffset>
            </wp:positionV>
            <wp:extent cx="2693670" cy="1026160"/>
            <wp:effectExtent l="0" t="0" r="0" b="254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2B1760B-8994-4C94-B3D1-FE1BDF3FF9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0370">
        <w:rPr>
          <w:b/>
          <w:color w:val="171717" w:themeColor="background2" w:themeShade="1A"/>
        </w:rPr>
        <w:t>D</w:t>
      </w:r>
      <w:r w:rsidR="00F4743A" w:rsidRPr="00C20370">
        <w:rPr>
          <w:b/>
          <w:color w:val="171717" w:themeColor="background2" w:themeShade="1A"/>
        </w:rPr>
        <w:t>iscuss the profit increase for 2016. Does this value indicate steady company growth? What else should we consider</w:t>
      </w:r>
      <w:r w:rsidR="00F4743A" w:rsidRPr="00C20370">
        <w:rPr>
          <w:color w:val="171717" w:themeColor="background2" w:themeShade="1A"/>
        </w:rPr>
        <w:t>?</w:t>
      </w:r>
    </w:p>
    <w:tbl>
      <w:tblPr>
        <w:tblW w:w="6287" w:type="dxa"/>
        <w:tblLook w:val="04A0" w:firstRow="1" w:lastRow="0" w:firstColumn="1" w:lastColumn="0" w:noHBand="0" w:noVBand="1"/>
      </w:tblPr>
      <w:tblGrid>
        <w:gridCol w:w="1698"/>
        <w:gridCol w:w="1698"/>
        <w:gridCol w:w="1698"/>
        <w:gridCol w:w="1193"/>
      </w:tblGrid>
      <w:tr w:rsidR="00960010" w:rsidRPr="00960010" w14:paraId="2CF1294E" w14:textId="77777777" w:rsidTr="00C20370">
        <w:trPr>
          <w:trHeight w:val="273"/>
        </w:trPr>
        <w:tc>
          <w:tcPr>
            <w:tcW w:w="169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8EAADB" w:themeFill="accent1" w:themeFillTint="99"/>
            <w:noWrap/>
            <w:vAlign w:val="bottom"/>
            <w:hideMark/>
          </w:tcPr>
          <w:p w14:paraId="5E6F509D" w14:textId="77777777" w:rsidR="00960010" w:rsidRPr="00C20370" w:rsidRDefault="00960010" w:rsidP="00960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  <w:t>Row Labels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8EAADB" w:themeFill="accent1" w:themeFillTint="99"/>
            <w:noWrap/>
            <w:vAlign w:val="bottom"/>
            <w:hideMark/>
          </w:tcPr>
          <w:p w14:paraId="6F748627" w14:textId="77777777" w:rsidR="00960010" w:rsidRPr="00C20370" w:rsidRDefault="00960010" w:rsidP="00960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  <w:t>Sum of Sales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8EAADB" w:themeFill="accent1" w:themeFillTint="99"/>
            <w:noWrap/>
            <w:vAlign w:val="bottom"/>
            <w:hideMark/>
          </w:tcPr>
          <w:p w14:paraId="644B6E51" w14:textId="77777777" w:rsidR="00960010" w:rsidRPr="00C20370" w:rsidRDefault="00960010" w:rsidP="00960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  <w:t>Sum of Profit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8EAADB" w:themeFill="accent1" w:themeFillTint="99"/>
            <w:noWrap/>
            <w:vAlign w:val="center"/>
            <w:hideMark/>
          </w:tcPr>
          <w:p w14:paraId="3CD405D9" w14:textId="49920FA3" w:rsidR="00960010" w:rsidRPr="00C20370" w:rsidRDefault="00960010" w:rsidP="00960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  <w:t>%</w:t>
            </w:r>
          </w:p>
        </w:tc>
      </w:tr>
      <w:tr w:rsidR="00960010" w:rsidRPr="00960010" w14:paraId="209E1011" w14:textId="77777777" w:rsidTr="00D233D9">
        <w:trPr>
          <w:trHeight w:val="273"/>
        </w:trPr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5626" w14:textId="77777777" w:rsidR="00960010" w:rsidRPr="00960010" w:rsidRDefault="00960010" w:rsidP="00960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96001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2013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CE36" w14:textId="77777777" w:rsidR="00960010" w:rsidRPr="00960010" w:rsidRDefault="00960010" w:rsidP="00960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96001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$484 247,50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E8B9" w14:textId="77777777" w:rsidR="00960010" w:rsidRPr="00960010" w:rsidRDefault="00960010" w:rsidP="00960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96001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$49 543,97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EBD5" w14:textId="77777777" w:rsidR="00960010" w:rsidRPr="00960010" w:rsidRDefault="00960010" w:rsidP="00960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96001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10,23%</w:t>
            </w:r>
          </w:p>
        </w:tc>
      </w:tr>
      <w:tr w:rsidR="00960010" w:rsidRPr="00960010" w14:paraId="74FB2EE2" w14:textId="77777777" w:rsidTr="00D233D9">
        <w:trPr>
          <w:trHeight w:val="273"/>
        </w:trPr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0CCD" w14:textId="77777777" w:rsidR="00960010" w:rsidRPr="00960010" w:rsidRDefault="00960010" w:rsidP="00960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96001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2014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1040" w14:textId="77777777" w:rsidR="00960010" w:rsidRPr="00960010" w:rsidRDefault="00960010" w:rsidP="00960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96001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$470 532,51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6A27" w14:textId="77777777" w:rsidR="00960010" w:rsidRPr="00960010" w:rsidRDefault="00960010" w:rsidP="00960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96001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$61 618,60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1A3B" w14:textId="33596D43" w:rsidR="00960010" w:rsidRPr="00960010" w:rsidRDefault="00960010" w:rsidP="00960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96001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13,10%</w:t>
            </w:r>
          </w:p>
        </w:tc>
      </w:tr>
      <w:tr w:rsidR="00960010" w:rsidRPr="00960010" w14:paraId="308DD783" w14:textId="77777777" w:rsidTr="00D233D9">
        <w:trPr>
          <w:trHeight w:val="273"/>
        </w:trPr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920E" w14:textId="77777777" w:rsidR="00960010" w:rsidRPr="00960010" w:rsidRDefault="00960010" w:rsidP="00960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96001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2015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09F7" w14:textId="77777777" w:rsidR="00960010" w:rsidRPr="00960010" w:rsidRDefault="00960010" w:rsidP="00960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96001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$608 473,83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0B45" w14:textId="77777777" w:rsidR="00960010" w:rsidRPr="00960010" w:rsidRDefault="00960010" w:rsidP="00960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96001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$81 726,93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14EF" w14:textId="0E782722" w:rsidR="00960010" w:rsidRPr="00960010" w:rsidRDefault="00960010" w:rsidP="00960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96001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13,43%</w:t>
            </w:r>
          </w:p>
        </w:tc>
      </w:tr>
      <w:tr w:rsidR="00960010" w:rsidRPr="00960010" w14:paraId="0A23FE4D" w14:textId="77777777" w:rsidTr="00D233D9">
        <w:trPr>
          <w:trHeight w:val="273"/>
        </w:trPr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8964" w14:textId="77777777" w:rsidR="00960010" w:rsidRPr="00960010" w:rsidRDefault="00960010" w:rsidP="00960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96001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2016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A224" w14:textId="77777777" w:rsidR="00960010" w:rsidRPr="00960010" w:rsidRDefault="00960010" w:rsidP="00960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96001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$733 947,02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E644" w14:textId="77777777" w:rsidR="00960010" w:rsidRPr="00960010" w:rsidRDefault="00960010" w:rsidP="00960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96001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$93 507,51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9877" w14:textId="77777777" w:rsidR="00960010" w:rsidRPr="00960010" w:rsidRDefault="00960010" w:rsidP="00960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96001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12,74%</w:t>
            </w:r>
          </w:p>
        </w:tc>
      </w:tr>
      <w:tr w:rsidR="00960010" w:rsidRPr="00960010" w14:paraId="70FBF508" w14:textId="77777777" w:rsidTr="00C20370">
        <w:trPr>
          <w:trHeight w:val="273"/>
        </w:trPr>
        <w:tc>
          <w:tcPr>
            <w:tcW w:w="169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8EAADB" w:themeFill="accent1" w:themeFillTint="99"/>
            <w:noWrap/>
            <w:vAlign w:val="bottom"/>
            <w:hideMark/>
          </w:tcPr>
          <w:p w14:paraId="21DF8732" w14:textId="77777777" w:rsidR="00960010" w:rsidRPr="00C20370" w:rsidRDefault="00960010" w:rsidP="00960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  <w:t>Grand Total</w:t>
            </w:r>
          </w:p>
        </w:tc>
        <w:tc>
          <w:tcPr>
            <w:tcW w:w="169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8EAADB" w:themeFill="accent1" w:themeFillTint="99"/>
            <w:noWrap/>
            <w:vAlign w:val="bottom"/>
            <w:hideMark/>
          </w:tcPr>
          <w:p w14:paraId="17525DFC" w14:textId="77777777" w:rsidR="00960010" w:rsidRPr="00C20370" w:rsidRDefault="00960010" w:rsidP="00960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  <w:t>$2 297 200,86</w:t>
            </w:r>
          </w:p>
        </w:tc>
        <w:tc>
          <w:tcPr>
            <w:tcW w:w="169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8EAADB" w:themeFill="accent1" w:themeFillTint="99"/>
            <w:noWrap/>
            <w:vAlign w:val="bottom"/>
            <w:hideMark/>
          </w:tcPr>
          <w:p w14:paraId="4DEC57B3" w14:textId="073D15BE" w:rsidR="00960010" w:rsidRPr="00C20370" w:rsidRDefault="00960010" w:rsidP="00960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  <w:t>$286 397,02</w:t>
            </w:r>
          </w:p>
        </w:tc>
        <w:tc>
          <w:tcPr>
            <w:tcW w:w="1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8EAADB" w:themeFill="accent1" w:themeFillTint="99"/>
            <w:noWrap/>
            <w:vAlign w:val="bottom"/>
            <w:hideMark/>
          </w:tcPr>
          <w:p w14:paraId="7EED4EFB" w14:textId="2F44F2A9" w:rsidR="00960010" w:rsidRPr="00C20370" w:rsidRDefault="00960010" w:rsidP="00960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  <w:t>12,47%</w:t>
            </w:r>
          </w:p>
        </w:tc>
      </w:tr>
    </w:tbl>
    <w:tbl>
      <w:tblPr>
        <w:tblpPr w:leftFromText="180" w:rightFromText="180" w:vertAnchor="text" w:horzAnchor="page" w:tblpX="7429" w:tblpY="63"/>
        <w:tblW w:w="3335" w:type="dxa"/>
        <w:tblLook w:val="04A0" w:firstRow="1" w:lastRow="0" w:firstColumn="1" w:lastColumn="0" w:noHBand="0" w:noVBand="1"/>
      </w:tblPr>
      <w:tblGrid>
        <w:gridCol w:w="1559"/>
        <w:gridCol w:w="1776"/>
      </w:tblGrid>
      <w:tr w:rsidR="00D233D9" w:rsidRPr="00D233D9" w14:paraId="493100BA" w14:textId="77777777" w:rsidTr="00C20370">
        <w:trPr>
          <w:trHeight w:val="261"/>
        </w:trPr>
        <w:tc>
          <w:tcPr>
            <w:tcW w:w="15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8EAADB" w:themeFill="accent1" w:themeFillTint="99"/>
            <w:noWrap/>
            <w:vAlign w:val="bottom"/>
            <w:hideMark/>
          </w:tcPr>
          <w:p w14:paraId="0AE9AEB5" w14:textId="25E762F0" w:rsidR="00D233D9" w:rsidRPr="00C20370" w:rsidRDefault="00D94483" w:rsidP="00D233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  <w:t>Year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8EAADB" w:themeFill="accent1" w:themeFillTint="99"/>
            <w:noWrap/>
            <w:vAlign w:val="bottom"/>
            <w:hideMark/>
          </w:tcPr>
          <w:p w14:paraId="41DFFE71" w14:textId="75158C23" w:rsidR="00D233D9" w:rsidRPr="00C20370" w:rsidRDefault="00D233D9" w:rsidP="00D233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  <w:t>Discounts by Year</w:t>
            </w:r>
          </w:p>
        </w:tc>
      </w:tr>
      <w:tr w:rsidR="00D233D9" w:rsidRPr="00D233D9" w14:paraId="1E596FBC" w14:textId="77777777" w:rsidTr="00F046CF">
        <w:trPr>
          <w:trHeight w:val="261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CAF1" w14:textId="77777777" w:rsidR="00D233D9" w:rsidRPr="00D233D9" w:rsidRDefault="00D233D9" w:rsidP="00D23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D233D9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2013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648E" w14:textId="77777777" w:rsidR="00D233D9" w:rsidRPr="00D233D9" w:rsidRDefault="00D233D9" w:rsidP="00D233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D233D9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315,46</w:t>
            </w:r>
          </w:p>
        </w:tc>
      </w:tr>
      <w:tr w:rsidR="00D233D9" w:rsidRPr="00D233D9" w14:paraId="3BD8DF52" w14:textId="77777777" w:rsidTr="00F046CF">
        <w:trPr>
          <w:trHeight w:val="261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3219" w14:textId="77777777" w:rsidR="00D233D9" w:rsidRPr="00D233D9" w:rsidRDefault="00D233D9" w:rsidP="00D23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D233D9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2014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C8C4" w14:textId="77777777" w:rsidR="00D233D9" w:rsidRPr="00D233D9" w:rsidRDefault="00D233D9" w:rsidP="00D233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D233D9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327,09</w:t>
            </w:r>
          </w:p>
        </w:tc>
      </w:tr>
      <w:tr w:rsidR="00D233D9" w:rsidRPr="00D233D9" w14:paraId="25700427" w14:textId="77777777" w:rsidTr="00F046CF">
        <w:trPr>
          <w:trHeight w:val="261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17A5" w14:textId="77777777" w:rsidR="00D233D9" w:rsidRPr="00D233D9" w:rsidRDefault="00D233D9" w:rsidP="00D23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D233D9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2015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DA07" w14:textId="77777777" w:rsidR="00D233D9" w:rsidRPr="00D233D9" w:rsidRDefault="00D233D9" w:rsidP="00D233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D233D9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399,12</w:t>
            </w:r>
          </w:p>
        </w:tc>
      </w:tr>
      <w:tr w:rsidR="00D233D9" w:rsidRPr="00D233D9" w14:paraId="5AB3AEC4" w14:textId="77777777" w:rsidTr="00F046CF">
        <w:trPr>
          <w:trHeight w:val="261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1C31" w14:textId="77777777" w:rsidR="00D233D9" w:rsidRPr="00D233D9" w:rsidRDefault="00D233D9" w:rsidP="00D23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D233D9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2016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5D57" w14:textId="77777777" w:rsidR="00D233D9" w:rsidRPr="00D233D9" w:rsidRDefault="00D233D9" w:rsidP="00D233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</w:pPr>
            <w:r w:rsidRPr="00D233D9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n-ZA"/>
              </w:rPr>
              <w:t>519,42</w:t>
            </w:r>
          </w:p>
        </w:tc>
      </w:tr>
      <w:tr w:rsidR="00D233D9" w:rsidRPr="00D233D9" w14:paraId="5A9C601C" w14:textId="77777777" w:rsidTr="00C20370">
        <w:trPr>
          <w:trHeight w:val="261"/>
        </w:trPr>
        <w:tc>
          <w:tcPr>
            <w:tcW w:w="155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8EAADB" w:themeFill="accent1" w:themeFillTint="99"/>
            <w:noWrap/>
            <w:vAlign w:val="bottom"/>
            <w:hideMark/>
          </w:tcPr>
          <w:p w14:paraId="3A447F14" w14:textId="77777777" w:rsidR="00D233D9" w:rsidRPr="00C20370" w:rsidRDefault="00D233D9" w:rsidP="00D233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  <w:t>Grand Total</w:t>
            </w:r>
          </w:p>
        </w:tc>
        <w:tc>
          <w:tcPr>
            <w:tcW w:w="177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8EAADB" w:themeFill="accent1" w:themeFillTint="99"/>
            <w:noWrap/>
            <w:vAlign w:val="bottom"/>
            <w:hideMark/>
          </w:tcPr>
          <w:p w14:paraId="70CBEEFD" w14:textId="77777777" w:rsidR="00D233D9" w:rsidRPr="00C20370" w:rsidRDefault="00D233D9" w:rsidP="00D233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4"/>
                <w:lang w:eastAsia="en-ZA"/>
              </w:rPr>
              <w:t>1561,09</w:t>
            </w:r>
          </w:p>
        </w:tc>
      </w:tr>
    </w:tbl>
    <w:p w14:paraId="17BC18AE" w14:textId="77777777" w:rsidR="00257169" w:rsidRPr="00257169" w:rsidRDefault="00257169" w:rsidP="004D425F">
      <w:pPr>
        <w:rPr>
          <w:color w:val="808080" w:themeColor="background1" w:themeShade="80"/>
          <w:sz w:val="2"/>
        </w:rPr>
      </w:pPr>
    </w:p>
    <w:p w14:paraId="1CD59FBE" w14:textId="1C7A37D1" w:rsidR="00AE2637" w:rsidRDefault="00AE2637" w:rsidP="004D425F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As the above table and chart shows that the increase in profit is </w:t>
      </w:r>
      <w:r w:rsidR="00D70A44">
        <w:rPr>
          <w:color w:val="808080" w:themeColor="background1" w:themeShade="80"/>
        </w:rPr>
        <w:t>directly correlated to an increase in sales</w:t>
      </w:r>
      <w:r w:rsidR="008F6A37">
        <w:rPr>
          <w:color w:val="808080" w:themeColor="background1" w:themeShade="80"/>
        </w:rPr>
        <w:t>. Increased sales, generally indicates, an increase in market share. Increased market share has a direct impact on profits, as profits are re-invested into operations and new customers will receive favourable discounts.</w:t>
      </w:r>
    </w:p>
    <w:p w14:paraId="6F2C080C" w14:textId="073DB132" w:rsidR="00D233D9" w:rsidRDefault="00D233D9" w:rsidP="004D425F">
      <w:pPr>
        <w:rPr>
          <w:color w:val="808080" w:themeColor="background1" w:themeShade="80"/>
        </w:rPr>
      </w:pPr>
    </w:p>
    <w:p w14:paraId="64C36FF4" w14:textId="707B9D8A" w:rsidR="00D233D9" w:rsidRDefault="00930A6F" w:rsidP="00D233D9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 w:rsidRPr="00C20370">
        <w:rPr>
          <w:b/>
          <w:color w:val="171717" w:themeColor="background2" w:themeShade="1A"/>
        </w:rPr>
        <w:t>The three states generating the most profit over the four-year period</w:t>
      </w:r>
      <w:r w:rsidR="00F046CF" w:rsidRPr="00C20370">
        <w:rPr>
          <w:b/>
          <w:color w:val="171717" w:themeColor="background2" w:themeShade="1A"/>
        </w:rPr>
        <w:t>.</w:t>
      </w:r>
      <w:r w:rsidRPr="00C20370">
        <w:rPr>
          <w:b/>
          <w:color w:val="171717" w:themeColor="background2" w:themeShade="1A"/>
        </w:rPr>
        <w:t xml:space="preserve"> Were they consistently the most profitable? If not, what other </w:t>
      </w:r>
      <w:r w:rsidR="00F046CF" w:rsidRPr="00C20370">
        <w:rPr>
          <w:b/>
          <w:color w:val="171717" w:themeColor="background2" w:themeShade="1A"/>
        </w:rPr>
        <w:t>States (and what year) featured in the top three during that period</w:t>
      </w:r>
      <w:r w:rsidR="00F046CF">
        <w:rPr>
          <w:color w:val="808080" w:themeColor="background1" w:themeShade="80"/>
        </w:rPr>
        <w:t>.</w:t>
      </w:r>
    </w:p>
    <w:tbl>
      <w:tblPr>
        <w:tblpPr w:leftFromText="180" w:rightFromText="180" w:vertAnchor="text" w:horzAnchor="page" w:tblpX="1453" w:tblpY="6"/>
        <w:tblW w:w="3175" w:type="dxa"/>
        <w:tblLook w:val="04A0" w:firstRow="1" w:lastRow="0" w:firstColumn="1" w:lastColumn="0" w:noHBand="0" w:noVBand="1"/>
      </w:tblPr>
      <w:tblGrid>
        <w:gridCol w:w="2001"/>
        <w:gridCol w:w="1174"/>
      </w:tblGrid>
      <w:tr w:rsidR="001E018E" w:rsidRPr="001E018E" w14:paraId="48D9B7EA" w14:textId="77777777" w:rsidTr="00AA55D0">
        <w:trPr>
          <w:trHeight w:val="58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center"/>
            <w:hideMark/>
          </w:tcPr>
          <w:p w14:paraId="4C5B671D" w14:textId="77777777" w:rsidR="001E018E" w:rsidRPr="001E018E" w:rsidRDefault="001E018E" w:rsidP="001E018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32"/>
                <w:lang w:eastAsia="en-ZA"/>
              </w:rPr>
            </w:pPr>
            <w:r w:rsidRPr="001E018E">
              <w:rPr>
                <w:rFonts w:eastAsia="Times New Roman" w:cstheme="minorHAnsi"/>
                <w:b/>
                <w:bCs/>
                <w:color w:val="FFFFFF"/>
                <w:sz w:val="20"/>
                <w:szCs w:val="32"/>
                <w:lang w:eastAsia="en-ZA"/>
              </w:rPr>
              <w:t>Top 3 States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center"/>
            <w:hideMark/>
          </w:tcPr>
          <w:p w14:paraId="698FB32D" w14:textId="77777777" w:rsidR="001E018E" w:rsidRPr="001E018E" w:rsidRDefault="001E018E" w:rsidP="001E018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4"/>
                <w:lang w:eastAsia="en-ZA"/>
              </w:rPr>
            </w:pPr>
            <w:r w:rsidRPr="001E018E">
              <w:rPr>
                <w:rFonts w:eastAsia="Times New Roman" w:cstheme="minorHAnsi"/>
                <w:b/>
                <w:bCs/>
                <w:color w:val="FFFFFF"/>
                <w:sz w:val="20"/>
                <w:szCs w:val="24"/>
                <w:lang w:eastAsia="en-ZA"/>
              </w:rPr>
              <w:t>2015</w:t>
            </w:r>
          </w:p>
        </w:tc>
      </w:tr>
      <w:tr w:rsidR="001E018E" w:rsidRPr="001E018E" w14:paraId="7BBA3A72" w14:textId="77777777" w:rsidTr="00AA55D0">
        <w:trPr>
          <w:trHeight w:val="275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15B6E" w14:textId="77777777" w:rsidR="001E018E" w:rsidRPr="00C20370" w:rsidRDefault="001E018E" w:rsidP="001E018E">
            <w:pPr>
              <w:spacing w:after="0" w:line="240" w:lineRule="auto"/>
              <w:jc w:val="center"/>
              <w:rPr>
                <w:rFonts w:eastAsia="Times New Roman" w:cstheme="minorHAns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eastAsia="Times New Roman" w:cstheme="minorHAnsi"/>
                <w:color w:val="808080" w:themeColor="background1" w:themeShade="80"/>
                <w:sz w:val="20"/>
                <w:szCs w:val="24"/>
                <w:lang w:eastAsia="en-ZA"/>
              </w:rPr>
              <w:t>California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D797C" w14:textId="77777777" w:rsidR="001E018E" w:rsidRPr="00C20370" w:rsidRDefault="001E018E" w:rsidP="001E018E">
            <w:pPr>
              <w:spacing w:after="0" w:line="240" w:lineRule="auto"/>
              <w:jc w:val="center"/>
              <w:rPr>
                <w:rFonts w:eastAsia="Times New Roman" w:cstheme="minorHAns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eastAsia="Times New Roman" w:cstheme="minorHAnsi"/>
                <w:color w:val="808080" w:themeColor="background1" w:themeShade="80"/>
                <w:sz w:val="20"/>
                <w:szCs w:val="24"/>
                <w:lang w:eastAsia="en-ZA"/>
              </w:rPr>
              <w:t>$19 969,61</w:t>
            </w:r>
          </w:p>
        </w:tc>
      </w:tr>
      <w:tr w:rsidR="001E018E" w:rsidRPr="001E018E" w14:paraId="371D26C7" w14:textId="77777777" w:rsidTr="00AA55D0">
        <w:trPr>
          <w:trHeight w:val="275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134A8" w14:textId="77777777" w:rsidR="001E018E" w:rsidRPr="00C20370" w:rsidRDefault="001E018E" w:rsidP="001E018E">
            <w:pPr>
              <w:spacing w:after="0" w:line="240" w:lineRule="auto"/>
              <w:jc w:val="center"/>
              <w:rPr>
                <w:rFonts w:eastAsia="Times New Roman" w:cstheme="minorHAns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eastAsia="Times New Roman" w:cstheme="minorHAnsi"/>
                <w:color w:val="808080" w:themeColor="background1" w:themeShade="80"/>
                <w:sz w:val="20"/>
                <w:szCs w:val="24"/>
                <w:lang w:eastAsia="en-ZA"/>
              </w:rPr>
              <w:t>New York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DD3A4" w14:textId="77777777" w:rsidR="001E018E" w:rsidRPr="00C20370" w:rsidRDefault="001E018E" w:rsidP="001E018E">
            <w:pPr>
              <w:spacing w:after="0" w:line="240" w:lineRule="auto"/>
              <w:jc w:val="center"/>
              <w:rPr>
                <w:rFonts w:eastAsia="Times New Roman" w:cstheme="minorHAns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eastAsia="Times New Roman" w:cstheme="minorHAnsi"/>
                <w:color w:val="808080" w:themeColor="background1" w:themeShade="80"/>
                <w:sz w:val="20"/>
                <w:szCs w:val="24"/>
                <w:lang w:eastAsia="en-ZA"/>
              </w:rPr>
              <w:t>$16 654,95</w:t>
            </w:r>
          </w:p>
        </w:tc>
      </w:tr>
      <w:tr w:rsidR="001E018E" w:rsidRPr="001E018E" w14:paraId="21EBFB85" w14:textId="77777777" w:rsidTr="00AA55D0">
        <w:trPr>
          <w:trHeight w:val="275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55EDB" w14:textId="77777777" w:rsidR="001E018E" w:rsidRPr="00C20370" w:rsidRDefault="001E018E" w:rsidP="001E018E">
            <w:pPr>
              <w:spacing w:after="0" w:line="240" w:lineRule="auto"/>
              <w:jc w:val="center"/>
              <w:rPr>
                <w:rFonts w:eastAsia="Times New Roman" w:cstheme="minorHAns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eastAsia="Times New Roman" w:cstheme="minorHAnsi"/>
                <w:color w:val="808080" w:themeColor="background1" w:themeShade="80"/>
                <w:sz w:val="20"/>
                <w:szCs w:val="24"/>
                <w:lang w:eastAsia="en-ZA"/>
              </w:rPr>
              <w:t>Indiana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4EB18" w14:textId="77777777" w:rsidR="001E018E" w:rsidRPr="00C20370" w:rsidRDefault="001E018E" w:rsidP="001E018E">
            <w:pPr>
              <w:spacing w:after="0" w:line="240" w:lineRule="auto"/>
              <w:jc w:val="center"/>
              <w:rPr>
                <w:rFonts w:eastAsia="Times New Roman" w:cstheme="minorHAns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eastAsia="Times New Roman" w:cstheme="minorHAnsi"/>
                <w:color w:val="808080" w:themeColor="background1" w:themeShade="80"/>
                <w:sz w:val="20"/>
                <w:szCs w:val="24"/>
                <w:lang w:eastAsia="en-ZA"/>
              </w:rPr>
              <w:t>$10 385,13</w:t>
            </w:r>
          </w:p>
        </w:tc>
      </w:tr>
    </w:tbl>
    <w:p w14:paraId="29B92B1E" w14:textId="77777777" w:rsidR="001E018E" w:rsidRPr="00257169" w:rsidRDefault="00E72C9E" w:rsidP="001E018E">
      <w:pPr>
        <w:spacing w:after="0"/>
        <w:ind w:left="720"/>
        <w:rPr>
          <w:color w:val="808080" w:themeColor="background1" w:themeShade="80"/>
          <w:sz w:val="24"/>
        </w:rPr>
      </w:pPr>
      <w:r w:rsidRPr="00257169">
        <w:rPr>
          <w:color w:val="808080" w:themeColor="background1" w:themeShade="80"/>
          <w:sz w:val="24"/>
        </w:rPr>
        <w:t>The top three states were not consistent</w:t>
      </w:r>
      <w:r w:rsidR="001E018E" w:rsidRPr="00257169">
        <w:rPr>
          <w:color w:val="808080" w:themeColor="background1" w:themeShade="80"/>
          <w:sz w:val="24"/>
        </w:rPr>
        <w:t xml:space="preserve">, </w:t>
      </w:r>
    </w:p>
    <w:p w14:paraId="0416A6B9" w14:textId="77777777" w:rsidR="001E018E" w:rsidRPr="00257169" w:rsidRDefault="001E018E" w:rsidP="001E018E">
      <w:pPr>
        <w:spacing w:after="0"/>
        <w:ind w:left="720"/>
        <w:rPr>
          <w:color w:val="808080" w:themeColor="background1" w:themeShade="80"/>
          <w:sz w:val="24"/>
        </w:rPr>
      </w:pPr>
      <w:r w:rsidRPr="00257169">
        <w:rPr>
          <w:color w:val="808080" w:themeColor="background1" w:themeShade="80"/>
          <w:sz w:val="24"/>
        </w:rPr>
        <w:t xml:space="preserve">allowing for an outlier. The state of Indiana </w:t>
      </w:r>
    </w:p>
    <w:p w14:paraId="51579804" w14:textId="2F30F43D" w:rsidR="00F046CF" w:rsidRPr="00257169" w:rsidRDefault="001E018E" w:rsidP="001E018E">
      <w:pPr>
        <w:spacing w:after="0"/>
        <w:ind w:left="720"/>
        <w:rPr>
          <w:color w:val="808080" w:themeColor="background1" w:themeShade="80"/>
          <w:sz w:val="24"/>
        </w:rPr>
      </w:pPr>
      <w:r w:rsidRPr="00257169">
        <w:rPr>
          <w:color w:val="808080" w:themeColor="background1" w:themeShade="80"/>
          <w:sz w:val="24"/>
        </w:rPr>
        <w:t>made it into the top three in 2015.</w:t>
      </w:r>
    </w:p>
    <w:p w14:paraId="5D2EC5F7" w14:textId="29D0498C" w:rsidR="00F046CF" w:rsidRDefault="00F046CF" w:rsidP="00F046CF">
      <w:pPr>
        <w:rPr>
          <w:color w:val="808080" w:themeColor="background1" w:themeShade="80"/>
        </w:rPr>
      </w:pPr>
    </w:p>
    <w:p w14:paraId="156BA961" w14:textId="77777777" w:rsidR="00AA55D0" w:rsidRDefault="00AA55D0" w:rsidP="00AA55D0">
      <w:pPr>
        <w:pStyle w:val="ListParagraph"/>
        <w:ind w:left="360"/>
        <w:rPr>
          <w:color w:val="808080" w:themeColor="background1" w:themeShade="80"/>
        </w:rPr>
      </w:pPr>
    </w:p>
    <w:p w14:paraId="641352E8" w14:textId="0E73D287" w:rsidR="001E018E" w:rsidRPr="00C20370" w:rsidRDefault="001E018E" w:rsidP="001E018E">
      <w:pPr>
        <w:pStyle w:val="ListParagraph"/>
        <w:numPr>
          <w:ilvl w:val="0"/>
          <w:numId w:val="2"/>
        </w:numPr>
        <w:rPr>
          <w:b/>
          <w:color w:val="171717" w:themeColor="background2" w:themeShade="1A"/>
        </w:rPr>
      </w:pPr>
      <w:r w:rsidRPr="00C20370">
        <w:rPr>
          <w:b/>
          <w:color w:val="171717" w:themeColor="background2" w:themeShade="1A"/>
        </w:rPr>
        <w:t>Discuss</w:t>
      </w:r>
      <w:r w:rsidR="00AA55D0" w:rsidRPr="00C20370">
        <w:rPr>
          <w:b/>
          <w:color w:val="171717" w:themeColor="background2" w:themeShade="1A"/>
        </w:rPr>
        <w:t xml:space="preserve"> the total Sales figures over the four-year period. Which year was the most successful and least successful?</w:t>
      </w:r>
    </w:p>
    <w:tbl>
      <w:tblPr>
        <w:tblpPr w:leftFromText="180" w:rightFromText="180" w:vertAnchor="text" w:tblpY="1"/>
        <w:tblOverlap w:val="never"/>
        <w:tblW w:w="5131" w:type="dxa"/>
        <w:tblLook w:val="04A0" w:firstRow="1" w:lastRow="0" w:firstColumn="1" w:lastColumn="0" w:noHBand="0" w:noVBand="1"/>
      </w:tblPr>
      <w:tblGrid>
        <w:gridCol w:w="1425"/>
        <w:gridCol w:w="1623"/>
        <w:gridCol w:w="2083"/>
      </w:tblGrid>
      <w:tr w:rsidR="005C11A8" w:rsidRPr="00442404" w14:paraId="06E60D02" w14:textId="77777777" w:rsidTr="00442404">
        <w:trPr>
          <w:trHeight w:val="22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CE56883" w14:textId="77777777" w:rsidR="00442404" w:rsidRPr="00C20370" w:rsidRDefault="00442404" w:rsidP="0044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ZA"/>
              </w:rPr>
              <w:t xml:space="preserve">Year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7E76932" w14:textId="77777777" w:rsidR="00442404" w:rsidRPr="00C20370" w:rsidRDefault="00442404" w:rsidP="0044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ZA"/>
              </w:rPr>
              <w:t>Sales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3BB6387" w14:textId="77777777" w:rsidR="00442404" w:rsidRPr="00C20370" w:rsidRDefault="00442404" w:rsidP="0044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ZA"/>
              </w:rPr>
              <w:t>Sales Growth Rate</w:t>
            </w:r>
          </w:p>
        </w:tc>
      </w:tr>
      <w:tr w:rsidR="005C11A8" w:rsidRPr="00442404" w14:paraId="51988EBD" w14:textId="77777777" w:rsidTr="00442404">
        <w:trPr>
          <w:trHeight w:val="22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CCD5" w14:textId="3D2196B1" w:rsidR="00442404" w:rsidRPr="00C20370" w:rsidRDefault="00442404" w:rsidP="0044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  <w:lang w:eastAsia="en-ZA"/>
              </w:rPr>
              <w:t xml:space="preserve"> 2013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EFAE" w14:textId="77777777" w:rsidR="00442404" w:rsidRPr="00C20370" w:rsidRDefault="00442404" w:rsidP="0044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  <w:lang w:eastAsia="en-ZA"/>
              </w:rPr>
              <w:t>$484 247,50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BA0E" w14:textId="77777777" w:rsidR="00442404" w:rsidRPr="00C20370" w:rsidRDefault="00442404" w:rsidP="0044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  <w:lang w:eastAsia="en-ZA"/>
              </w:rPr>
            </w:pPr>
          </w:p>
        </w:tc>
      </w:tr>
      <w:tr w:rsidR="00442404" w:rsidRPr="00442404" w14:paraId="4BC26486" w14:textId="77777777" w:rsidTr="00442404">
        <w:trPr>
          <w:trHeight w:val="22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D8D3" w14:textId="77777777" w:rsidR="00442404" w:rsidRPr="00C20370" w:rsidRDefault="00442404" w:rsidP="0044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en-ZA"/>
              </w:rPr>
              <w:t>2014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13A2" w14:textId="77777777" w:rsidR="00442404" w:rsidRPr="00C20370" w:rsidRDefault="00442404" w:rsidP="0044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en-ZA"/>
              </w:rPr>
              <w:t>$470 532,51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06CA" w14:textId="77777777" w:rsidR="00442404" w:rsidRPr="00C20370" w:rsidRDefault="00442404" w:rsidP="0044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en-ZA"/>
              </w:rPr>
              <w:t>-2,91%</w:t>
            </w:r>
          </w:p>
        </w:tc>
      </w:tr>
      <w:tr w:rsidR="00442404" w:rsidRPr="00442404" w14:paraId="56AB4D36" w14:textId="77777777" w:rsidTr="00442404">
        <w:trPr>
          <w:trHeight w:val="22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4D4E" w14:textId="0DA4B343" w:rsidR="00442404" w:rsidRPr="00C20370" w:rsidRDefault="00442404" w:rsidP="0044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en-ZA"/>
              </w:rPr>
              <w:t>2015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A75D" w14:textId="77777777" w:rsidR="00442404" w:rsidRPr="00C20370" w:rsidRDefault="00442404" w:rsidP="0044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en-ZA"/>
              </w:rPr>
              <w:t>$608 474,83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88B4" w14:textId="77777777" w:rsidR="00442404" w:rsidRPr="00C20370" w:rsidRDefault="00442404" w:rsidP="0044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en-ZA"/>
              </w:rPr>
              <w:t>22,67%</w:t>
            </w:r>
          </w:p>
        </w:tc>
      </w:tr>
      <w:tr w:rsidR="00442404" w:rsidRPr="00442404" w14:paraId="0A9E4F6E" w14:textId="77777777" w:rsidTr="00442404">
        <w:trPr>
          <w:trHeight w:val="22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F912" w14:textId="77777777" w:rsidR="00442404" w:rsidRPr="00C20370" w:rsidRDefault="00442404" w:rsidP="0044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en-ZA"/>
              </w:rPr>
              <w:t>2016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E2F6" w14:textId="77777777" w:rsidR="00442404" w:rsidRPr="00C20370" w:rsidRDefault="00442404" w:rsidP="0044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en-ZA"/>
              </w:rPr>
              <w:t>$733 947,02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AC6A" w14:textId="77777777" w:rsidR="00442404" w:rsidRPr="00C20370" w:rsidRDefault="00442404" w:rsidP="0044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  <w:lang w:eastAsia="en-ZA"/>
              </w:rPr>
              <w:t>17,10%</w:t>
            </w:r>
          </w:p>
        </w:tc>
      </w:tr>
      <w:tr w:rsidR="00442404" w:rsidRPr="00442404" w14:paraId="00A14C08" w14:textId="77777777" w:rsidTr="00442404">
        <w:trPr>
          <w:trHeight w:val="22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59D83E" w14:textId="77777777" w:rsidR="00442404" w:rsidRPr="00C20370" w:rsidRDefault="00442404" w:rsidP="0044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ZA"/>
              </w:rPr>
              <w:t>Total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FC9C5F2" w14:textId="77777777" w:rsidR="00442404" w:rsidRPr="00C20370" w:rsidRDefault="00442404" w:rsidP="0044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ZA"/>
              </w:rPr>
              <w:t>$2 297 201,86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C5D5" w14:textId="77777777" w:rsidR="00442404" w:rsidRPr="00C20370" w:rsidRDefault="00442404" w:rsidP="0044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</w:tr>
      <w:tr w:rsidR="00442404" w:rsidRPr="00442404" w14:paraId="2D019C73" w14:textId="77777777" w:rsidTr="00442404">
        <w:trPr>
          <w:trHeight w:val="22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859B" w14:textId="77777777" w:rsidR="00442404" w:rsidRPr="00C20370" w:rsidRDefault="00442404" w:rsidP="00442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55B7" w14:textId="77777777" w:rsidR="00442404" w:rsidRPr="00C20370" w:rsidRDefault="00442404" w:rsidP="0044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1A95" w14:textId="77777777" w:rsidR="00442404" w:rsidRPr="00C20370" w:rsidRDefault="00442404" w:rsidP="0044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442404" w:rsidRPr="00442404" w14:paraId="097D25D4" w14:textId="77777777" w:rsidTr="00442404">
        <w:trPr>
          <w:trHeight w:val="22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1DBA4D8" w14:textId="77777777" w:rsidR="00442404" w:rsidRPr="00C20370" w:rsidRDefault="00442404" w:rsidP="0044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ZA"/>
              </w:rPr>
              <w:t xml:space="preserve">Avg. Ann. Sales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24FCDBB" w14:textId="77777777" w:rsidR="00442404" w:rsidRPr="00C20370" w:rsidRDefault="00442404" w:rsidP="0044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ZA"/>
              </w:rPr>
              <w:t>$574 300,47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61EA" w14:textId="77777777" w:rsidR="00442404" w:rsidRPr="00C20370" w:rsidRDefault="00442404" w:rsidP="0044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ZA"/>
              </w:rPr>
            </w:pPr>
          </w:p>
        </w:tc>
      </w:tr>
      <w:tr w:rsidR="00442404" w:rsidRPr="00442404" w14:paraId="778F155C" w14:textId="77777777" w:rsidTr="00442404">
        <w:trPr>
          <w:trHeight w:val="222"/>
        </w:trPr>
        <w:tc>
          <w:tcPr>
            <w:tcW w:w="3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120E4FF" w14:textId="77777777" w:rsidR="00442404" w:rsidRPr="00C20370" w:rsidRDefault="00442404" w:rsidP="0044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ZA"/>
              </w:rPr>
              <w:t>Avg. Ann. Sales Growth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5FDE035" w14:textId="77777777" w:rsidR="00442404" w:rsidRPr="00C20370" w:rsidRDefault="00442404" w:rsidP="005C1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ZA"/>
              </w:rPr>
              <w:t>12,28%</w:t>
            </w:r>
          </w:p>
        </w:tc>
      </w:tr>
    </w:tbl>
    <w:p w14:paraId="4DD82219" w14:textId="03E1809F" w:rsidR="00442404" w:rsidRPr="00257169" w:rsidRDefault="00442404" w:rsidP="00442404">
      <w:pPr>
        <w:rPr>
          <w:color w:val="808080" w:themeColor="background1" w:themeShade="80"/>
          <w:sz w:val="24"/>
        </w:rPr>
      </w:pPr>
      <w:r w:rsidRPr="00257169">
        <w:rPr>
          <w:color w:val="808080" w:themeColor="background1" w:themeShade="80"/>
          <w:sz w:val="24"/>
        </w:rPr>
        <w:t xml:space="preserve">The analysis of the four-year sales figures indicates an average growth rate of </w:t>
      </w:r>
      <w:r>
        <w:rPr>
          <w:color w:val="808080" w:themeColor="background1" w:themeShade="80"/>
          <w:sz w:val="24"/>
        </w:rPr>
        <w:t>12,28</w:t>
      </w:r>
      <w:r w:rsidRPr="00257169">
        <w:rPr>
          <w:color w:val="808080" w:themeColor="background1" w:themeShade="80"/>
          <w:sz w:val="24"/>
        </w:rPr>
        <w:t>% with an average annual sale of $574</w:t>
      </w:r>
      <w:r>
        <w:rPr>
          <w:color w:val="808080" w:themeColor="background1" w:themeShade="80"/>
          <w:sz w:val="24"/>
        </w:rPr>
        <w:t> </w:t>
      </w:r>
      <w:r w:rsidRPr="00257169">
        <w:rPr>
          <w:color w:val="808080" w:themeColor="background1" w:themeShade="80"/>
          <w:sz w:val="24"/>
        </w:rPr>
        <w:t>300</w:t>
      </w:r>
      <w:r>
        <w:rPr>
          <w:color w:val="808080" w:themeColor="background1" w:themeShade="80"/>
          <w:sz w:val="24"/>
        </w:rPr>
        <w:t>,47</w:t>
      </w:r>
      <w:r w:rsidRPr="00257169">
        <w:rPr>
          <w:color w:val="808080" w:themeColor="background1" w:themeShade="80"/>
          <w:sz w:val="24"/>
        </w:rPr>
        <w:t xml:space="preserve">. The year with the greatest number of sales is 2016, however 2015 was the most successful with a growth rate of </w:t>
      </w:r>
      <w:r>
        <w:rPr>
          <w:color w:val="808080" w:themeColor="background1" w:themeShade="80"/>
          <w:sz w:val="24"/>
        </w:rPr>
        <w:t>22,67</w:t>
      </w:r>
      <w:r w:rsidRPr="00257169">
        <w:rPr>
          <w:color w:val="808080" w:themeColor="background1" w:themeShade="80"/>
          <w:sz w:val="24"/>
        </w:rPr>
        <w:t xml:space="preserve">% and an increase of </w:t>
      </w:r>
      <w:r>
        <w:rPr>
          <w:color w:val="808080" w:themeColor="background1" w:themeShade="80"/>
          <w:sz w:val="24"/>
        </w:rPr>
        <w:t>25,58</w:t>
      </w:r>
      <w:r w:rsidRPr="00257169">
        <w:rPr>
          <w:color w:val="808080" w:themeColor="background1" w:themeShade="80"/>
          <w:sz w:val="24"/>
        </w:rPr>
        <w:t>% from the previous year. The least successful year as indicated by the attached table is 2014 with a negative growth rate of -</w:t>
      </w:r>
      <w:r>
        <w:rPr>
          <w:color w:val="808080" w:themeColor="background1" w:themeShade="80"/>
          <w:sz w:val="24"/>
        </w:rPr>
        <w:t>2,91</w:t>
      </w:r>
      <w:r w:rsidRPr="00257169">
        <w:rPr>
          <w:color w:val="808080" w:themeColor="background1" w:themeShade="80"/>
          <w:sz w:val="24"/>
        </w:rPr>
        <w:t>%.</w:t>
      </w:r>
    </w:p>
    <w:p w14:paraId="68A7670F" w14:textId="7D1015C5" w:rsidR="00C814B7" w:rsidRDefault="00C814B7" w:rsidP="0066006D">
      <w:pPr>
        <w:rPr>
          <w:color w:val="808080" w:themeColor="background1" w:themeShade="80"/>
        </w:rPr>
      </w:pPr>
      <w:bookmarkStart w:id="0" w:name="_GoBack"/>
      <w:bookmarkEnd w:id="0"/>
    </w:p>
    <w:p w14:paraId="16BC5EF5" w14:textId="2D05CA15" w:rsidR="00C814B7" w:rsidRPr="00C20370" w:rsidRDefault="00257169" w:rsidP="00257169">
      <w:pPr>
        <w:pStyle w:val="ListParagraph"/>
        <w:numPr>
          <w:ilvl w:val="0"/>
          <w:numId w:val="2"/>
        </w:numPr>
        <w:rPr>
          <w:b/>
          <w:color w:val="171717" w:themeColor="background2" w:themeShade="1A"/>
        </w:rPr>
      </w:pPr>
      <w:r w:rsidRPr="00C20370">
        <w:rPr>
          <w:b/>
          <w:color w:val="171717" w:themeColor="background2" w:themeShade="1A"/>
        </w:rPr>
        <w:t xml:space="preserve">What was the increase of the % of items returned from 2015 to 2016? </w:t>
      </w:r>
    </w:p>
    <w:p w14:paraId="52265002" w14:textId="6A373A47" w:rsidR="00257169" w:rsidRDefault="00257169" w:rsidP="00257169">
      <w:pPr>
        <w:pStyle w:val="ListParagraph"/>
        <w:ind w:left="360"/>
        <w:rPr>
          <w:color w:val="808080" w:themeColor="background1" w:themeShade="80"/>
        </w:rPr>
      </w:pPr>
      <w:r>
        <w:rPr>
          <w:color w:val="808080" w:themeColor="background1" w:themeShade="80"/>
        </w:rPr>
        <w:t>Increase from 2015 – 2016 is 1.07%</w:t>
      </w:r>
    </w:p>
    <w:tbl>
      <w:tblPr>
        <w:tblpPr w:leftFromText="180" w:rightFromText="180" w:vertAnchor="text" w:horzAnchor="margin" w:tblpY="20"/>
        <w:tblW w:w="9660" w:type="dxa"/>
        <w:tblLook w:val="04A0" w:firstRow="1" w:lastRow="0" w:firstColumn="1" w:lastColumn="0" w:noHBand="0" w:noVBand="1"/>
      </w:tblPr>
      <w:tblGrid>
        <w:gridCol w:w="2680"/>
        <w:gridCol w:w="3180"/>
        <w:gridCol w:w="1900"/>
        <w:gridCol w:w="1900"/>
      </w:tblGrid>
      <w:tr w:rsidR="00257169" w:rsidRPr="00257169" w14:paraId="70913B70" w14:textId="77777777" w:rsidTr="00257169">
        <w:trPr>
          <w:trHeight w:val="405"/>
        </w:trPr>
        <w:tc>
          <w:tcPr>
            <w:tcW w:w="2680" w:type="dxa"/>
            <w:tcBorders>
              <w:top w:val="single" w:sz="8" w:space="0" w:color="BF8F00"/>
              <w:left w:val="nil"/>
              <w:bottom w:val="nil"/>
              <w:right w:val="nil"/>
            </w:tcBorders>
            <w:shd w:val="clear" w:color="FFC000" w:fill="FFC000"/>
            <w:noWrap/>
            <w:vAlign w:val="center"/>
            <w:hideMark/>
          </w:tcPr>
          <w:p w14:paraId="552AA62E" w14:textId="77777777" w:rsidR="00257169" w:rsidRPr="00257169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32"/>
                <w:lang w:eastAsia="en-ZA"/>
              </w:rPr>
            </w:pPr>
            <w:r w:rsidRPr="002571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32"/>
                <w:lang w:eastAsia="en-ZA"/>
              </w:rPr>
              <w:t>Percentage of Returned Items</w:t>
            </w:r>
          </w:p>
        </w:tc>
        <w:tc>
          <w:tcPr>
            <w:tcW w:w="3180" w:type="dxa"/>
            <w:tcBorders>
              <w:top w:val="single" w:sz="8" w:space="0" w:color="BF8F00"/>
              <w:left w:val="nil"/>
              <w:bottom w:val="nil"/>
              <w:right w:val="nil"/>
            </w:tcBorders>
            <w:shd w:val="clear" w:color="FFC000" w:fill="FFC000"/>
            <w:noWrap/>
            <w:vAlign w:val="center"/>
            <w:hideMark/>
          </w:tcPr>
          <w:p w14:paraId="60360415" w14:textId="77777777" w:rsidR="00257169" w:rsidRPr="00257169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4"/>
                <w:lang w:eastAsia="en-ZA"/>
              </w:rPr>
            </w:pPr>
            <w:r w:rsidRPr="002571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4"/>
                <w:lang w:eastAsia="en-ZA"/>
              </w:rPr>
              <w:t>Sum of Quantity</w:t>
            </w:r>
          </w:p>
        </w:tc>
        <w:tc>
          <w:tcPr>
            <w:tcW w:w="1900" w:type="dxa"/>
            <w:tcBorders>
              <w:top w:val="single" w:sz="8" w:space="0" w:color="BF8F00"/>
              <w:left w:val="nil"/>
              <w:bottom w:val="nil"/>
              <w:right w:val="nil"/>
            </w:tcBorders>
            <w:shd w:val="clear" w:color="FFC000" w:fill="FFC000"/>
            <w:noWrap/>
            <w:vAlign w:val="center"/>
            <w:hideMark/>
          </w:tcPr>
          <w:p w14:paraId="13477D83" w14:textId="77777777" w:rsidR="00257169" w:rsidRPr="00257169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4"/>
                <w:lang w:eastAsia="en-ZA"/>
              </w:rPr>
            </w:pPr>
            <w:r w:rsidRPr="002571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4"/>
                <w:lang w:eastAsia="en-ZA"/>
              </w:rPr>
              <w:t xml:space="preserve"> Sum of Returns</w:t>
            </w:r>
          </w:p>
        </w:tc>
        <w:tc>
          <w:tcPr>
            <w:tcW w:w="1900" w:type="dxa"/>
            <w:tcBorders>
              <w:top w:val="single" w:sz="8" w:space="0" w:color="BF8F00"/>
              <w:left w:val="nil"/>
              <w:bottom w:val="nil"/>
              <w:right w:val="nil"/>
            </w:tcBorders>
            <w:shd w:val="clear" w:color="FFC000" w:fill="FFC000"/>
            <w:noWrap/>
            <w:vAlign w:val="center"/>
            <w:hideMark/>
          </w:tcPr>
          <w:p w14:paraId="38A6C2F0" w14:textId="77777777" w:rsidR="00257169" w:rsidRPr="00257169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4"/>
                <w:lang w:eastAsia="en-ZA"/>
              </w:rPr>
            </w:pPr>
            <w:r w:rsidRPr="002571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4"/>
                <w:lang w:eastAsia="en-ZA"/>
              </w:rPr>
              <w:t>Sum of Percentage</w:t>
            </w:r>
          </w:p>
        </w:tc>
      </w:tr>
      <w:tr w:rsidR="00257169" w:rsidRPr="00257169" w14:paraId="403BE0BA" w14:textId="77777777" w:rsidTr="00257169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2381E" w14:textId="77777777" w:rsidR="00257169" w:rsidRPr="00C20370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</w:pPr>
            <w:r w:rsidRPr="00C20370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  <w:t>2013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F9744" w14:textId="77777777" w:rsidR="00257169" w:rsidRPr="00C20370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</w:pPr>
            <w:r w:rsidRPr="00C20370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  <w:t>7581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AC04E" w14:textId="77777777" w:rsidR="00257169" w:rsidRPr="00C20370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</w:pPr>
            <w:r w:rsidRPr="00C20370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  <w:t>525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03773" w14:textId="77777777" w:rsidR="00257169" w:rsidRPr="00C20370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</w:pPr>
            <w:r w:rsidRPr="00C20370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  <w:t>6,93%</w:t>
            </w:r>
          </w:p>
        </w:tc>
      </w:tr>
      <w:tr w:rsidR="00257169" w:rsidRPr="00257169" w14:paraId="3F2F4DF9" w14:textId="77777777" w:rsidTr="00257169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925BA" w14:textId="77777777" w:rsidR="00257169" w:rsidRPr="00C20370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</w:pPr>
            <w:r w:rsidRPr="00C20370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  <w:t>2014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93892" w14:textId="77777777" w:rsidR="00257169" w:rsidRPr="00C20370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</w:pPr>
            <w:r w:rsidRPr="00C20370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  <w:t>7979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C1760" w14:textId="77777777" w:rsidR="00257169" w:rsidRPr="00C20370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</w:pPr>
            <w:r w:rsidRPr="00C20370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  <w:t>598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98BA6" w14:textId="77777777" w:rsidR="00257169" w:rsidRPr="00C20370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</w:pPr>
            <w:r w:rsidRPr="00C20370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  <w:t>7,49%</w:t>
            </w:r>
          </w:p>
        </w:tc>
      </w:tr>
      <w:tr w:rsidR="00257169" w:rsidRPr="00257169" w14:paraId="65436FFD" w14:textId="77777777" w:rsidTr="00257169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F2E2A" w14:textId="77777777" w:rsidR="00257169" w:rsidRPr="00C20370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</w:pPr>
            <w:r w:rsidRPr="00C20370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  <w:t>2015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AB987" w14:textId="77777777" w:rsidR="00257169" w:rsidRPr="00C20370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</w:pPr>
            <w:r w:rsidRPr="00C20370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  <w:t>9810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C59B1" w14:textId="77777777" w:rsidR="00257169" w:rsidRPr="00C20370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</w:pPr>
            <w:r w:rsidRPr="00C20370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  <w:t>790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9B9A3" w14:textId="77777777" w:rsidR="00257169" w:rsidRPr="00C20370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</w:pPr>
            <w:r w:rsidRPr="00C20370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  <w:t>8,05%</w:t>
            </w:r>
          </w:p>
        </w:tc>
      </w:tr>
      <w:tr w:rsidR="00257169" w:rsidRPr="00257169" w14:paraId="03240208" w14:textId="77777777" w:rsidTr="00257169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C2B94" w14:textId="77777777" w:rsidR="00257169" w:rsidRPr="00C20370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</w:pPr>
            <w:r w:rsidRPr="00C20370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  <w:t>2016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0B179" w14:textId="77777777" w:rsidR="00257169" w:rsidRPr="00C20370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</w:pPr>
            <w:r w:rsidRPr="00C20370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  <w:t>12503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5273A" w14:textId="77777777" w:rsidR="00257169" w:rsidRPr="00C20370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</w:pPr>
            <w:r w:rsidRPr="00C20370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  <w:t>1140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EC5B9" w14:textId="77777777" w:rsidR="00257169" w:rsidRPr="00C20370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</w:pPr>
            <w:r w:rsidRPr="00C20370">
              <w:rPr>
                <w:rFonts w:ascii="Arial" w:eastAsia="Times New Roman" w:hAnsi="Arial" w:cs="Arial"/>
                <w:color w:val="808080" w:themeColor="background1" w:themeShade="80"/>
                <w:sz w:val="18"/>
                <w:szCs w:val="24"/>
                <w:lang w:eastAsia="en-ZA"/>
              </w:rPr>
              <w:t>9,12%</w:t>
            </w:r>
          </w:p>
        </w:tc>
      </w:tr>
      <w:tr w:rsidR="00257169" w:rsidRPr="00257169" w14:paraId="35887906" w14:textId="77777777" w:rsidTr="00257169">
        <w:trPr>
          <w:trHeight w:val="315"/>
        </w:trPr>
        <w:tc>
          <w:tcPr>
            <w:tcW w:w="2680" w:type="dxa"/>
            <w:tcBorders>
              <w:top w:val="single" w:sz="4" w:space="0" w:color="BF8F00"/>
              <w:left w:val="nil"/>
              <w:bottom w:val="single" w:sz="8" w:space="0" w:color="BF8F00"/>
              <w:right w:val="nil"/>
            </w:tcBorders>
            <w:shd w:val="clear" w:color="auto" w:fill="auto"/>
            <w:noWrap/>
            <w:vAlign w:val="center"/>
            <w:hideMark/>
          </w:tcPr>
          <w:p w14:paraId="176EACBF" w14:textId="77777777" w:rsidR="00257169" w:rsidRPr="00C20370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sz w:val="18"/>
                <w:szCs w:val="24"/>
                <w:lang w:eastAsia="en-ZA"/>
              </w:rPr>
            </w:pPr>
            <w:r w:rsidRPr="00C20370"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sz w:val="18"/>
                <w:szCs w:val="24"/>
                <w:lang w:eastAsia="en-ZA"/>
              </w:rPr>
              <w:t>Grand Total</w:t>
            </w:r>
          </w:p>
        </w:tc>
        <w:tc>
          <w:tcPr>
            <w:tcW w:w="3180" w:type="dxa"/>
            <w:tcBorders>
              <w:top w:val="single" w:sz="4" w:space="0" w:color="BF8F00"/>
              <w:left w:val="nil"/>
              <w:bottom w:val="single" w:sz="8" w:space="0" w:color="BF8F00"/>
              <w:right w:val="nil"/>
            </w:tcBorders>
            <w:shd w:val="clear" w:color="auto" w:fill="auto"/>
            <w:noWrap/>
            <w:vAlign w:val="center"/>
            <w:hideMark/>
          </w:tcPr>
          <w:p w14:paraId="0BE5EBF1" w14:textId="77777777" w:rsidR="00257169" w:rsidRPr="00C20370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sz w:val="18"/>
                <w:szCs w:val="24"/>
                <w:lang w:eastAsia="en-ZA"/>
              </w:rPr>
            </w:pPr>
            <w:r w:rsidRPr="00C20370"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sz w:val="18"/>
                <w:szCs w:val="24"/>
                <w:lang w:eastAsia="en-ZA"/>
              </w:rPr>
              <w:t>37873</w:t>
            </w:r>
          </w:p>
        </w:tc>
        <w:tc>
          <w:tcPr>
            <w:tcW w:w="1900" w:type="dxa"/>
            <w:tcBorders>
              <w:top w:val="single" w:sz="4" w:space="0" w:color="BF8F00"/>
              <w:left w:val="nil"/>
              <w:bottom w:val="single" w:sz="8" w:space="0" w:color="BF8F00"/>
              <w:right w:val="nil"/>
            </w:tcBorders>
            <w:shd w:val="clear" w:color="auto" w:fill="auto"/>
            <w:noWrap/>
            <w:vAlign w:val="center"/>
            <w:hideMark/>
          </w:tcPr>
          <w:p w14:paraId="0E992AC9" w14:textId="77777777" w:rsidR="00257169" w:rsidRPr="00C20370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sz w:val="18"/>
                <w:szCs w:val="24"/>
                <w:lang w:eastAsia="en-ZA"/>
              </w:rPr>
            </w:pPr>
            <w:r w:rsidRPr="00C20370"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sz w:val="18"/>
                <w:szCs w:val="24"/>
                <w:lang w:eastAsia="en-ZA"/>
              </w:rPr>
              <w:t>3053</w:t>
            </w:r>
          </w:p>
        </w:tc>
        <w:tc>
          <w:tcPr>
            <w:tcW w:w="1900" w:type="dxa"/>
            <w:tcBorders>
              <w:top w:val="single" w:sz="4" w:space="0" w:color="BF8F00"/>
              <w:left w:val="nil"/>
              <w:bottom w:val="single" w:sz="8" w:space="0" w:color="BF8F00"/>
              <w:right w:val="nil"/>
            </w:tcBorders>
            <w:shd w:val="clear" w:color="auto" w:fill="auto"/>
            <w:noWrap/>
            <w:vAlign w:val="center"/>
            <w:hideMark/>
          </w:tcPr>
          <w:p w14:paraId="250B1745" w14:textId="77777777" w:rsidR="00257169" w:rsidRPr="00C20370" w:rsidRDefault="00257169" w:rsidP="002571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sz w:val="18"/>
                <w:szCs w:val="24"/>
                <w:lang w:eastAsia="en-ZA"/>
              </w:rPr>
            </w:pPr>
            <w:r w:rsidRPr="00C20370"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sz w:val="18"/>
                <w:szCs w:val="24"/>
                <w:lang w:eastAsia="en-ZA"/>
              </w:rPr>
              <w:t>8,06%</w:t>
            </w:r>
          </w:p>
        </w:tc>
      </w:tr>
    </w:tbl>
    <w:p w14:paraId="1A3088EF" w14:textId="77777777" w:rsidR="00257169" w:rsidRPr="00257169" w:rsidRDefault="00257169" w:rsidP="00257169">
      <w:pPr>
        <w:rPr>
          <w:color w:val="808080" w:themeColor="background1" w:themeShade="80"/>
        </w:rPr>
      </w:pPr>
    </w:p>
    <w:p w14:paraId="60FD7AA1" w14:textId="77564A14" w:rsidR="00C814B7" w:rsidRDefault="00C814B7" w:rsidP="0066006D">
      <w:pPr>
        <w:rPr>
          <w:color w:val="808080" w:themeColor="background1" w:themeShade="80"/>
        </w:rPr>
      </w:pPr>
    </w:p>
    <w:p w14:paraId="4464C811" w14:textId="74BA19EA" w:rsidR="00C814B7" w:rsidRDefault="00C814B7" w:rsidP="00257169">
      <w:pPr>
        <w:rPr>
          <w:color w:val="808080" w:themeColor="background1" w:themeShade="80"/>
        </w:rPr>
      </w:pPr>
    </w:p>
    <w:p w14:paraId="2281186D" w14:textId="4D92CF29" w:rsidR="00257169" w:rsidRDefault="00257169" w:rsidP="00257169">
      <w:pPr>
        <w:rPr>
          <w:color w:val="808080" w:themeColor="background1" w:themeShade="80"/>
        </w:rPr>
      </w:pPr>
    </w:p>
    <w:p w14:paraId="63A02689" w14:textId="11F339CD" w:rsidR="00257169" w:rsidRDefault="00257169" w:rsidP="00257169">
      <w:pPr>
        <w:rPr>
          <w:color w:val="808080" w:themeColor="background1" w:themeShade="80"/>
        </w:rPr>
      </w:pPr>
    </w:p>
    <w:p w14:paraId="3AFD33C2" w14:textId="29F850F4" w:rsidR="00257169" w:rsidRPr="00C20370" w:rsidRDefault="00257169" w:rsidP="00C20370">
      <w:pPr>
        <w:pStyle w:val="ListParagraph"/>
        <w:numPr>
          <w:ilvl w:val="0"/>
          <w:numId w:val="2"/>
        </w:numPr>
        <w:rPr>
          <w:b/>
          <w:color w:val="171717" w:themeColor="background2" w:themeShade="1A"/>
        </w:rPr>
      </w:pPr>
      <w:r w:rsidRPr="00C20370">
        <w:rPr>
          <w:b/>
          <w:color w:val="171717" w:themeColor="background2" w:themeShade="1A"/>
        </w:rPr>
        <w:lastRenderedPageBreak/>
        <w:t>In 2016 – What category generated the largest profit</w:t>
      </w:r>
      <w:r w:rsidR="00DC3364" w:rsidRPr="00C20370">
        <w:rPr>
          <w:b/>
          <w:color w:val="171717" w:themeColor="background2" w:themeShade="1A"/>
        </w:rPr>
        <w:t>? Was this the case for previous years too?</w:t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1620"/>
        <w:gridCol w:w="1920"/>
        <w:gridCol w:w="1280"/>
        <w:gridCol w:w="1280"/>
        <w:gridCol w:w="1280"/>
        <w:gridCol w:w="1420"/>
      </w:tblGrid>
      <w:tr w:rsidR="00205C9B" w:rsidRPr="00205C9B" w14:paraId="721F587E" w14:textId="77777777" w:rsidTr="00205C9B">
        <w:trPr>
          <w:trHeight w:val="3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5925E677" w14:textId="77777777" w:rsidR="00205C9B" w:rsidRPr="00205C9B" w:rsidRDefault="00205C9B" w:rsidP="00205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4"/>
                <w:lang w:eastAsia="en-ZA"/>
              </w:rPr>
            </w:pPr>
            <w:r w:rsidRPr="00205C9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4"/>
                <w:lang w:eastAsia="en-ZA"/>
              </w:rPr>
              <w:t>Row Labels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1E075BA5" w14:textId="77777777" w:rsidR="00205C9B" w:rsidRPr="00205C9B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4"/>
                <w:lang w:eastAsia="en-ZA"/>
              </w:rPr>
            </w:pPr>
            <w:r w:rsidRPr="00205C9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4"/>
                <w:lang w:eastAsia="en-ZA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1B537873" w14:textId="77777777" w:rsidR="00205C9B" w:rsidRPr="00205C9B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4"/>
                <w:lang w:eastAsia="en-ZA"/>
              </w:rPr>
            </w:pPr>
            <w:r w:rsidRPr="00205C9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4"/>
                <w:lang w:eastAsia="en-ZA"/>
              </w:rPr>
              <w:t>2014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6C408D65" w14:textId="77777777" w:rsidR="00205C9B" w:rsidRPr="00205C9B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4"/>
                <w:lang w:eastAsia="en-ZA"/>
              </w:rPr>
            </w:pPr>
            <w:r w:rsidRPr="00205C9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4"/>
                <w:lang w:eastAsia="en-ZA"/>
              </w:rPr>
              <w:t>2015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037D4FAF" w14:textId="77777777" w:rsidR="00205C9B" w:rsidRPr="00205C9B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4"/>
                <w:lang w:eastAsia="en-ZA"/>
              </w:rPr>
            </w:pPr>
            <w:r w:rsidRPr="00205C9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4"/>
                <w:lang w:eastAsia="en-ZA"/>
              </w:rPr>
              <w:t>2016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7966A6F1" w14:textId="77777777" w:rsidR="00205C9B" w:rsidRPr="00205C9B" w:rsidRDefault="00205C9B" w:rsidP="00205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4"/>
                <w:lang w:eastAsia="en-ZA"/>
              </w:rPr>
            </w:pPr>
            <w:r w:rsidRPr="00205C9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24"/>
                <w:lang w:eastAsia="en-ZA"/>
              </w:rPr>
              <w:t>Grand Total</w:t>
            </w:r>
          </w:p>
        </w:tc>
      </w:tr>
      <w:tr w:rsidR="00205C9B" w:rsidRPr="00205C9B" w14:paraId="1617BD38" w14:textId="77777777" w:rsidTr="00205C9B">
        <w:trPr>
          <w:trHeight w:val="3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DE2C" w14:textId="77777777" w:rsidR="00205C9B" w:rsidRPr="00C20370" w:rsidRDefault="00205C9B" w:rsidP="00205C9B">
            <w:pPr>
              <w:spacing w:after="0" w:line="240" w:lineRule="auto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Technology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1654" w14:textId="77777777" w:rsidR="00205C9B" w:rsidRPr="00C20370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$21 492,83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4DEA" w14:textId="77777777" w:rsidR="00205C9B" w:rsidRPr="00C20370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$33 503,87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C2BB" w14:textId="77777777" w:rsidR="00205C9B" w:rsidRPr="00C20370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$39 751,31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46AB" w14:textId="77777777" w:rsidR="00205C9B" w:rsidRPr="00C20370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$50 706,93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D395" w14:textId="77777777" w:rsidR="00205C9B" w:rsidRPr="00C20370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$145 454,95</w:t>
            </w:r>
          </w:p>
        </w:tc>
      </w:tr>
      <w:tr w:rsidR="00205C9B" w:rsidRPr="00205C9B" w14:paraId="37C6C738" w14:textId="77777777" w:rsidTr="00205C9B">
        <w:trPr>
          <w:trHeight w:val="3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C8C4" w14:textId="77777777" w:rsidR="00205C9B" w:rsidRPr="00C20370" w:rsidRDefault="00205C9B" w:rsidP="00205C9B">
            <w:pPr>
              <w:spacing w:after="0" w:line="240" w:lineRule="auto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Office Supplies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BC40" w14:textId="77777777" w:rsidR="00205C9B" w:rsidRPr="00C20370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$22 593,42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D42A" w14:textId="77777777" w:rsidR="00205C9B" w:rsidRPr="00C20370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$25 099,53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4545" w14:textId="77777777" w:rsidR="00205C9B" w:rsidRPr="00C20370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$35 015,66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4533" w14:textId="77777777" w:rsidR="00205C9B" w:rsidRPr="00C20370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$39 782,19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AD42" w14:textId="77777777" w:rsidR="00205C9B" w:rsidRPr="00C20370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$122 490,80</w:t>
            </w:r>
          </w:p>
        </w:tc>
      </w:tr>
      <w:tr w:rsidR="00205C9B" w:rsidRPr="00205C9B" w14:paraId="5874FBCF" w14:textId="77777777" w:rsidTr="00205C9B">
        <w:trPr>
          <w:trHeight w:val="3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8E20" w14:textId="77777777" w:rsidR="00205C9B" w:rsidRPr="00C20370" w:rsidRDefault="00205C9B" w:rsidP="00205C9B">
            <w:pPr>
              <w:spacing w:after="0" w:line="240" w:lineRule="auto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Furniture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5937" w14:textId="77777777" w:rsidR="00205C9B" w:rsidRPr="00C20370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$5 457,73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428F" w14:textId="77777777" w:rsidR="00205C9B" w:rsidRPr="00C20370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$3 015,20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4EE7" w14:textId="77777777" w:rsidR="00205C9B" w:rsidRPr="00C20370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$6 959,95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BD93" w14:textId="77777777" w:rsidR="00205C9B" w:rsidRPr="00C20370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$3 018,39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7915" w14:textId="77777777" w:rsidR="00205C9B" w:rsidRPr="00C20370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$18 451,27</w:t>
            </w:r>
          </w:p>
        </w:tc>
      </w:tr>
      <w:tr w:rsidR="00205C9B" w:rsidRPr="00205C9B" w14:paraId="62F975C9" w14:textId="77777777" w:rsidTr="00205C9B">
        <w:trPr>
          <w:trHeight w:val="315"/>
        </w:trPr>
        <w:tc>
          <w:tcPr>
            <w:tcW w:w="1620" w:type="dxa"/>
            <w:tcBorders>
              <w:top w:val="single" w:sz="4" w:space="0" w:color="BF8F00"/>
              <w:left w:val="nil"/>
              <w:bottom w:val="single" w:sz="8" w:space="0" w:color="BF8F00"/>
              <w:right w:val="nil"/>
            </w:tcBorders>
            <w:shd w:val="clear" w:color="auto" w:fill="auto"/>
            <w:noWrap/>
            <w:vAlign w:val="bottom"/>
            <w:hideMark/>
          </w:tcPr>
          <w:p w14:paraId="1AED2498" w14:textId="77777777" w:rsidR="00205C9B" w:rsidRPr="00C20370" w:rsidRDefault="00205C9B" w:rsidP="00205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808080" w:themeColor="background1" w:themeShade="80"/>
                <w:sz w:val="20"/>
                <w:szCs w:val="24"/>
                <w:lang w:eastAsia="en-ZA"/>
              </w:rPr>
              <w:t>Grand Total</w:t>
            </w:r>
          </w:p>
        </w:tc>
        <w:tc>
          <w:tcPr>
            <w:tcW w:w="1920" w:type="dxa"/>
            <w:tcBorders>
              <w:top w:val="single" w:sz="4" w:space="0" w:color="BF8F00"/>
              <w:left w:val="nil"/>
              <w:bottom w:val="single" w:sz="8" w:space="0" w:color="BF8F00"/>
              <w:right w:val="nil"/>
            </w:tcBorders>
            <w:shd w:val="clear" w:color="auto" w:fill="auto"/>
            <w:noWrap/>
            <w:vAlign w:val="bottom"/>
            <w:hideMark/>
          </w:tcPr>
          <w:p w14:paraId="16A1A061" w14:textId="77777777" w:rsidR="00205C9B" w:rsidRPr="00C20370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808080" w:themeColor="background1" w:themeShade="80"/>
                <w:sz w:val="20"/>
                <w:szCs w:val="24"/>
                <w:lang w:eastAsia="en-ZA"/>
              </w:rPr>
              <w:t>$49 543,97</w:t>
            </w:r>
          </w:p>
        </w:tc>
        <w:tc>
          <w:tcPr>
            <w:tcW w:w="1280" w:type="dxa"/>
            <w:tcBorders>
              <w:top w:val="single" w:sz="4" w:space="0" w:color="BF8F00"/>
              <w:left w:val="nil"/>
              <w:bottom w:val="single" w:sz="8" w:space="0" w:color="BF8F00"/>
              <w:right w:val="nil"/>
            </w:tcBorders>
            <w:shd w:val="clear" w:color="auto" w:fill="auto"/>
            <w:noWrap/>
            <w:vAlign w:val="bottom"/>
            <w:hideMark/>
          </w:tcPr>
          <w:p w14:paraId="519275D0" w14:textId="77777777" w:rsidR="00205C9B" w:rsidRPr="00C20370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808080" w:themeColor="background1" w:themeShade="80"/>
                <w:sz w:val="20"/>
                <w:szCs w:val="24"/>
                <w:lang w:eastAsia="en-ZA"/>
              </w:rPr>
              <w:t>$61 618,60</w:t>
            </w:r>
          </w:p>
        </w:tc>
        <w:tc>
          <w:tcPr>
            <w:tcW w:w="1280" w:type="dxa"/>
            <w:tcBorders>
              <w:top w:val="single" w:sz="4" w:space="0" w:color="BF8F00"/>
              <w:left w:val="nil"/>
              <w:bottom w:val="single" w:sz="8" w:space="0" w:color="BF8F00"/>
              <w:right w:val="nil"/>
            </w:tcBorders>
            <w:shd w:val="clear" w:color="auto" w:fill="auto"/>
            <w:noWrap/>
            <w:vAlign w:val="bottom"/>
            <w:hideMark/>
          </w:tcPr>
          <w:p w14:paraId="7ABE9ED3" w14:textId="77777777" w:rsidR="00205C9B" w:rsidRPr="00C20370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808080" w:themeColor="background1" w:themeShade="80"/>
                <w:sz w:val="20"/>
                <w:szCs w:val="24"/>
                <w:lang w:eastAsia="en-ZA"/>
              </w:rPr>
              <w:t>$81 726,93</w:t>
            </w:r>
          </w:p>
        </w:tc>
        <w:tc>
          <w:tcPr>
            <w:tcW w:w="1280" w:type="dxa"/>
            <w:tcBorders>
              <w:top w:val="single" w:sz="4" w:space="0" w:color="BF8F00"/>
              <w:left w:val="nil"/>
              <w:bottom w:val="single" w:sz="8" w:space="0" w:color="BF8F00"/>
              <w:right w:val="nil"/>
            </w:tcBorders>
            <w:shd w:val="clear" w:color="auto" w:fill="auto"/>
            <w:noWrap/>
            <w:vAlign w:val="bottom"/>
            <w:hideMark/>
          </w:tcPr>
          <w:p w14:paraId="7DE004ED" w14:textId="77777777" w:rsidR="00205C9B" w:rsidRPr="00C20370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808080" w:themeColor="background1" w:themeShade="80"/>
                <w:sz w:val="20"/>
                <w:szCs w:val="24"/>
                <w:lang w:eastAsia="en-ZA"/>
              </w:rPr>
              <w:t>$93 507,51</w:t>
            </w:r>
          </w:p>
        </w:tc>
        <w:tc>
          <w:tcPr>
            <w:tcW w:w="1420" w:type="dxa"/>
            <w:tcBorders>
              <w:top w:val="single" w:sz="4" w:space="0" w:color="BF8F00"/>
              <w:left w:val="nil"/>
              <w:bottom w:val="single" w:sz="8" w:space="0" w:color="BF8F00"/>
              <w:right w:val="nil"/>
            </w:tcBorders>
            <w:shd w:val="clear" w:color="auto" w:fill="auto"/>
            <w:noWrap/>
            <w:vAlign w:val="bottom"/>
            <w:hideMark/>
          </w:tcPr>
          <w:p w14:paraId="1629F71B" w14:textId="77777777" w:rsidR="00205C9B" w:rsidRPr="00C20370" w:rsidRDefault="00205C9B" w:rsidP="00205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bCs/>
                <w:color w:val="808080" w:themeColor="background1" w:themeShade="80"/>
                <w:sz w:val="20"/>
                <w:szCs w:val="24"/>
                <w:lang w:eastAsia="en-ZA"/>
              </w:rPr>
              <w:t>$286 397,02</w:t>
            </w:r>
          </w:p>
        </w:tc>
      </w:tr>
    </w:tbl>
    <w:p w14:paraId="100423DE" w14:textId="17289BF4" w:rsidR="00DC3364" w:rsidRDefault="00DC3364" w:rsidP="00257169">
      <w:pPr>
        <w:rPr>
          <w:color w:val="808080" w:themeColor="background1" w:themeShade="80"/>
        </w:rPr>
      </w:pPr>
    </w:p>
    <w:p w14:paraId="0BF3A3C1" w14:textId="412BEBF2" w:rsidR="00205C9B" w:rsidRDefault="00205C9B" w:rsidP="0025716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The Technology category generated the largest profit with $50 706,93. The same can be seen for the previous years, however Office supplies generated </w:t>
      </w:r>
      <w:r w:rsidR="008120F7">
        <w:rPr>
          <w:color w:val="808080" w:themeColor="background1" w:themeShade="80"/>
        </w:rPr>
        <w:t xml:space="preserve">the largest </w:t>
      </w:r>
      <w:r w:rsidR="00CE0D29">
        <w:rPr>
          <w:color w:val="808080" w:themeColor="background1" w:themeShade="80"/>
        </w:rPr>
        <w:t xml:space="preserve">profit </w:t>
      </w:r>
      <w:r w:rsidR="008120F7">
        <w:rPr>
          <w:color w:val="808080" w:themeColor="background1" w:themeShade="80"/>
        </w:rPr>
        <w:t xml:space="preserve">of $22 593,42. </w:t>
      </w:r>
    </w:p>
    <w:p w14:paraId="25B61BDA" w14:textId="77777777" w:rsidR="00C20370" w:rsidRDefault="00C20370" w:rsidP="00C20370">
      <w:pPr>
        <w:pStyle w:val="ListParagraph"/>
        <w:ind w:left="360"/>
        <w:rPr>
          <w:color w:val="808080" w:themeColor="background1" w:themeShade="80"/>
        </w:rPr>
      </w:pPr>
    </w:p>
    <w:p w14:paraId="7F8F2050" w14:textId="26EE7974" w:rsidR="008120F7" w:rsidRPr="00C20370" w:rsidRDefault="008120F7" w:rsidP="009B313C">
      <w:pPr>
        <w:pStyle w:val="ListParagraph"/>
        <w:numPr>
          <w:ilvl w:val="0"/>
          <w:numId w:val="3"/>
        </w:numPr>
        <w:rPr>
          <w:b/>
          <w:color w:val="171717" w:themeColor="background2" w:themeShade="1A"/>
        </w:rPr>
      </w:pPr>
      <w:r w:rsidRPr="00C20370">
        <w:rPr>
          <w:b/>
          <w:color w:val="171717" w:themeColor="background2" w:themeShade="1A"/>
        </w:rPr>
        <w:t>Have a look at the profit generated by the technology category over the four-year period. Can you find any issues that you should notify the company about? Any particularly good outcomes to point out to the company?</w:t>
      </w:r>
    </w:p>
    <w:p w14:paraId="3EAFC962" w14:textId="6B789425" w:rsidR="00EB310A" w:rsidRDefault="00EB310A" w:rsidP="00883496">
      <w:pPr>
        <w:pStyle w:val="ListParagraph"/>
        <w:ind w:left="360"/>
        <w:rPr>
          <w:color w:val="808080" w:themeColor="background1" w:themeShade="80"/>
        </w:rPr>
      </w:pPr>
    </w:p>
    <w:tbl>
      <w:tblPr>
        <w:tblpPr w:leftFromText="180" w:rightFromText="180" w:vertAnchor="text" w:tblpY="1"/>
        <w:tblOverlap w:val="never"/>
        <w:tblW w:w="4181" w:type="dxa"/>
        <w:tblLook w:val="04A0" w:firstRow="1" w:lastRow="0" w:firstColumn="1" w:lastColumn="0" w:noHBand="0" w:noVBand="1"/>
      </w:tblPr>
      <w:tblGrid>
        <w:gridCol w:w="1359"/>
        <w:gridCol w:w="1653"/>
        <w:gridCol w:w="1169"/>
      </w:tblGrid>
      <w:tr w:rsidR="009B313C" w:rsidRPr="00E01B2B" w14:paraId="2A0CA1C9" w14:textId="77777777" w:rsidTr="009B313C">
        <w:trPr>
          <w:trHeight w:val="285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center"/>
            <w:hideMark/>
          </w:tcPr>
          <w:p w14:paraId="4DB5801D" w14:textId="77777777" w:rsidR="00E01B2B" w:rsidRPr="00E01B2B" w:rsidRDefault="00E01B2B" w:rsidP="00E01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en-ZA"/>
              </w:rPr>
            </w:pPr>
            <w:r w:rsidRPr="00E01B2B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en-ZA"/>
              </w:rPr>
              <w:t>Row Labels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center"/>
            <w:hideMark/>
          </w:tcPr>
          <w:p w14:paraId="4700BAEA" w14:textId="77777777" w:rsidR="00E01B2B" w:rsidRPr="00E01B2B" w:rsidRDefault="00E01B2B" w:rsidP="00E01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en-ZA"/>
              </w:rPr>
            </w:pPr>
            <w:r w:rsidRPr="00E01B2B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en-ZA"/>
              </w:rPr>
              <w:t>Technology Profit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center"/>
            <w:hideMark/>
          </w:tcPr>
          <w:p w14:paraId="020F8FCF" w14:textId="77777777" w:rsidR="00E01B2B" w:rsidRPr="00E01B2B" w:rsidRDefault="00E01B2B" w:rsidP="00E01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en-ZA"/>
              </w:rPr>
            </w:pPr>
            <w:r w:rsidRPr="00E01B2B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en-ZA"/>
              </w:rPr>
              <w:t>Growth Rate</w:t>
            </w:r>
          </w:p>
        </w:tc>
      </w:tr>
      <w:tr w:rsidR="00E01B2B" w:rsidRPr="00E01B2B" w14:paraId="656101A9" w14:textId="77777777" w:rsidTr="009B313C">
        <w:trPr>
          <w:trHeight w:val="285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76E98" w14:textId="77777777" w:rsidR="00E01B2B" w:rsidRPr="00C20370" w:rsidRDefault="00E01B2B" w:rsidP="00E01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2013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A8E24" w14:textId="77777777" w:rsidR="00E01B2B" w:rsidRPr="00C20370" w:rsidRDefault="00E01B2B" w:rsidP="00E01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$21 492,83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BDB82" w14:textId="77777777" w:rsidR="00E01B2B" w:rsidRPr="00C20370" w:rsidRDefault="00E01B2B" w:rsidP="00E01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</w:p>
        </w:tc>
      </w:tr>
      <w:tr w:rsidR="00E01B2B" w:rsidRPr="00E01B2B" w14:paraId="439646BC" w14:textId="77777777" w:rsidTr="009B313C">
        <w:trPr>
          <w:trHeight w:val="285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99EEA" w14:textId="77777777" w:rsidR="00E01B2B" w:rsidRPr="00C20370" w:rsidRDefault="00E01B2B" w:rsidP="00E01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2014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24DC7" w14:textId="77777777" w:rsidR="00E01B2B" w:rsidRPr="00C20370" w:rsidRDefault="00E01B2B" w:rsidP="00E01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$33 503,87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E8BCF" w14:textId="77777777" w:rsidR="00E01B2B" w:rsidRPr="00C20370" w:rsidRDefault="00E01B2B" w:rsidP="00E01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35,85%</w:t>
            </w:r>
          </w:p>
        </w:tc>
      </w:tr>
      <w:tr w:rsidR="00E01B2B" w:rsidRPr="00E01B2B" w14:paraId="76CD36D8" w14:textId="77777777" w:rsidTr="009B313C">
        <w:trPr>
          <w:trHeight w:val="285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7F86" w14:textId="77777777" w:rsidR="00E01B2B" w:rsidRPr="00C20370" w:rsidRDefault="00E01B2B" w:rsidP="00E01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2015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D20BB" w14:textId="77777777" w:rsidR="00E01B2B" w:rsidRPr="00C20370" w:rsidRDefault="00E01B2B" w:rsidP="00E01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$39 751,31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D72E3" w14:textId="77777777" w:rsidR="00E01B2B" w:rsidRPr="00C20370" w:rsidRDefault="00E01B2B" w:rsidP="00E01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15,72%</w:t>
            </w:r>
          </w:p>
        </w:tc>
      </w:tr>
      <w:tr w:rsidR="00E01B2B" w:rsidRPr="00E01B2B" w14:paraId="1CA61D4B" w14:textId="77777777" w:rsidTr="009B313C">
        <w:trPr>
          <w:trHeight w:val="285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DE824" w14:textId="77777777" w:rsidR="00E01B2B" w:rsidRPr="00C20370" w:rsidRDefault="00E01B2B" w:rsidP="00E01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2016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F87AB" w14:textId="77777777" w:rsidR="00E01B2B" w:rsidRPr="00C20370" w:rsidRDefault="00E01B2B" w:rsidP="00E01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$50 706,93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475C0" w14:textId="77777777" w:rsidR="00E01B2B" w:rsidRPr="00C20370" w:rsidRDefault="00E01B2B" w:rsidP="00E01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4"/>
                <w:lang w:eastAsia="en-ZA"/>
              </w:rPr>
              <w:t>21,61%</w:t>
            </w:r>
          </w:p>
        </w:tc>
      </w:tr>
      <w:tr w:rsidR="00E01B2B" w:rsidRPr="00E01B2B" w14:paraId="3DCCA6BD" w14:textId="77777777" w:rsidTr="009B313C">
        <w:trPr>
          <w:trHeight w:val="285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BBE9838" w14:textId="77777777" w:rsidR="00E01B2B" w:rsidRPr="00E01B2B" w:rsidRDefault="00E01B2B" w:rsidP="00E01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lang w:eastAsia="en-ZA"/>
              </w:rPr>
            </w:pPr>
            <w:r w:rsidRPr="00E01B2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lang w:eastAsia="en-ZA"/>
              </w:rPr>
              <w:t>Grand Total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9E26B3E" w14:textId="77777777" w:rsidR="00E01B2B" w:rsidRPr="00E01B2B" w:rsidRDefault="00E01B2B" w:rsidP="00E01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lang w:eastAsia="en-ZA"/>
              </w:rPr>
            </w:pPr>
            <w:r w:rsidRPr="00E01B2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lang w:eastAsia="en-ZA"/>
              </w:rPr>
              <w:t>$145 454,95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0DA2" w14:textId="77777777" w:rsidR="00E01B2B" w:rsidRPr="00E01B2B" w:rsidRDefault="00E01B2B" w:rsidP="00E01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ZA"/>
              </w:rPr>
            </w:pPr>
          </w:p>
        </w:tc>
      </w:tr>
      <w:tr w:rsidR="00E01B2B" w:rsidRPr="00E01B2B" w14:paraId="0B8F0C29" w14:textId="77777777" w:rsidTr="009B313C">
        <w:trPr>
          <w:trHeight w:val="285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F2584E9" w14:textId="4AD7883A" w:rsidR="00E01B2B" w:rsidRPr="00E01B2B" w:rsidRDefault="00E01B2B" w:rsidP="00E01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lang w:eastAsia="en-ZA"/>
              </w:rPr>
            </w:pPr>
            <w:r w:rsidRPr="00D20B17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lang w:eastAsia="en-ZA"/>
              </w:rPr>
              <w:t>Average</w:t>
            </w:r>
            <w:r w:rsidR="00D20B17" w:rsidRPr="00D20B17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lang w:eastAsia="en-ZA"/>
              </w:rPr>
              <w:t xml:space="preserve"> </w:t>
            </w:r>
            <w:r w:rsidR="00D20B17" w:rsidRPr="00D20B17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lang w:eastAsia="en-ZA"/>
              </w:rPr>
              <w:t>Profit</w:t>
            </w:r>
            <w:r w:rsidR="00D20B17" w:rsidRPr="00D20B17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lang w:eastAsia="en-ZA"/>
              </w:rPr>
              <w:t xml:space="preserve">  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D68E033" w14:textId="4A714027" w:rsidR="00E01B2B" w:rsidRPr="00E01B2B" w:rsidRDefault="00E01B2B" w:rsidP="00D20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lang w:eastAsia="en-ZA"/>
              </w:rPr>
            </w:pPr>
            <w:r w:rsidRPr="00E01B2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lang w:eastAsia="en-ZA"/>
              </w:rPr>
              <w:t>$36 363,74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BA41" w14:textId="77777777" w:rsidR="00E01B2B" w:rsidRPr="00E01B2B" w:rsidRDefault="00E01B2B" w:rsidP="00E01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ZA"/>
              </w:rPr>
            </w:pPr>
          </w:p>
        </w:tc>
      </w:tr>
      <w:tr w:rsidR="00E01B2B" w:rsidRPr="00E01B2B" w14:paraId="52B9E11F" w14:textId="77777777" w:rsidTr="009B313C">
        <w:trPr>
          <w:trHeight w:val="285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2B62" w14:textId="77777777" w:rsidR="00E01B2B" w:rsidRPr="00E01B2B" w:rsidRDefault="00E01B2B" w:rsidP="00E01B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n-ZA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01B3" w14:textId="77777777" w:rsidR="00E01B2B" w:rsidRPr="00E01B2B" w:rsidRDefault="00E01B2B" w:rsidP="00E01B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n-ZA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2B95" w14:textId="77777777" w:rsidR="00E01B2B" w:rsidRPr="00E01B2B" w:rsidRDefault="00E01B2B" w:rsidP="00E01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E01B2B" w:rsidRPr="00E01B2B" w14:paraId="238842FD" w14:textId="77777777" w:rsidTr="009B313C">
        <w:trPr>
          <w:trHeight w:val="285"/>
        </w:trPr>
        <w:tc>
          <w:tcPr>
            <w:tcW w:w="3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FFE54FA" w14:textId="61E7264E" w:rsidR="00E01B2B" w:rsidRPr="00D20B17" w:rsidRDefault="00E01B2B" w:rsidP="00E01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lang w:eastAsia="en-ZA"/>
              </w:rPr>
            </w:pPr>
            <w:r w:rsidRPr="00D20B17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lang w:eastAsia="en-ZA"/>
              </w:rPr>
              <w:t>Av</w:t>
            </w:r>
            <w:r w:rsidR="00D20B17" w:rsidRPr="00D20B17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lang w:eastAsia="en-ZA"/>
              </w:rPr>
              <w:t xml:space="preserve">erage </w:t>
            </w:r>
            <w:r w:rsidRPr="00D20B17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lang w:eastAsia="en-ZA"/>
              </w:rPr>
              <w:t>Profit Growth</w:t>
            </w:r>
            <w:r w:rsidR="00D20B17" w:rsidRPr="00D20B17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lang w:eastAsia="en-ZA"/>
              </w:rPr>
              <w:t xml:space="preserve"> Rate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B0ED82F" w14:textId="77777777" w:rsidR="00E01B2B" w:rsidRPr="00E01B2B" w:rsidRDefault="00E01B2B" w:rsidP="00D94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0"/>
                <w:lang w:eastAsia="en-ZA"/>
              </w:rPr>
            </w:pPr>
            <w:r w:rsidRPr="00E01B2B">
              <w:rPr>
                <w:rFonts w:ascii="Calibri" w:eastAsia="Times New Roman" w:hAnsi="Calibri" w:cs="Calibri"/>
                <w:color w:val="FFFFFF" w:themeColor="background1"/>
                <w:sz w:val="20"/>
                <w:lang w:eastAsia="en-ZA"/>
              </w:rPr>
              <w:t>24,39%</w:t>
            </w:r>
          </w:p>
        </w:tc>
      </w:tr>
    </w:tbl>
    <w:p w14:paraId="6C8C3BEC" w14:textId="1E3E0DD2" w:rsidR="009B313C" w:rsidRDefault="009B313C" w:rsidP="00883496">
      <w:pPr>
        <w:pStyle w:val="ListParagraph"/>
        <w:ind w:left="360"/>
        <w:rPr>
          <w:color w:val="808080" w:themeColor="background1" w:themeShade="8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52A6D4" wp14:editId="3D4B0422">
            <wp:simplePos x="0" y="0"/>
            <wp:positionH relativeFrom="column">
              <wp:posOffset>4134987</wp:posOffset>
            </wp:positionH>
            <wp:positionV relativeFrom="paragraph">
              <wp:posOffset>87810</wp:posOffset>
            </wp:positionV>
            <wp:extent cx="2644775" cy="1173480"/>
            <wp:effectExtent l="0" t="0" r="3175" b="7620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7ACD77C-BABA-4646-85BD-2007F9E752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B2B">
        <w:rPr>
          <w:noProof/>
          <w:color w:val="808080" w:themeColor="background1" w:themeShade="80"/>
        </w:rPr>
        <w:t xml:space="preserve">The table to the left indicates the profits generated by the Technology Category, which shows normal increases as per </w:t>
      </w:r>
      <w:r w:rsidR="00E01B2B" w:rsidRPr="00E01B2B">
        <w:rPr>
          <w:noProof/>
          <w:color w:val="808080" w:themeColor="background1" w:themeShade="80"/>
        </w:rPr>
        <w:t xml:space="preserve">Company sales as discussed in </w:t>
      </w:r>
      <w:r w:rsidR="00E01B2B">
        <w:rPr>
          <w:noProof/>
          <w:color w:val="808080" w:themeColor="background1" w:themeShade="80"/>
        </w:rPr>
        <w:t>A</w:t>
      </w:r>
      <w:r w:rsidR="00E01B2B" w:rsidRPr="00E01B2B">
        <w:rPr>
          <w:noProof/>
          <w:color w:val="808080" w:themeColor="background1" w:themeShade="80"/>
        </w:rPr>
        <w:t>nswer 1</w:t>
      </w:r>
      <w:r w:rsidR="00E01B2B">
        <w:rPr>
          <w:color w:val="808080" w:themeColor="background1" w:themeShade="80"/>
        </w:rPr>
        <w:t xml:space="preserve">. </w:t>
      </w:r>
    </w:p>
    <w:p w14:paraId="6B549D51" w14:textId="177C7FC3" w:rsidR="009B313C" w:rsidRPr="00D20B17" w:rsidRDefault="009B313C" w:rsidP="00883496">
      <w:pPr>
        <w:pStyle w:val="ListParagraph"/>
        <w:ind w:left="360"/>
        <w:rPr>
          <w:color w:val="808080" w:themeColor="background1" w:themeShade="80"/>
          <w:sz w:val="16"/>
        </w:rPr>
      </w:pPr>
    </w:p>
    <w:p w14:paraId="4ACC1AA8" w14:textId="77777777" w:rsidR="009B313C" w:rsidRDefault="009B313C" w:rsidP="00883496">
      <w:pPr>
        <w:pStyle w:val="ListParagraph"/>
        <w:ind w:left="36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The Technology category accounts for 50,79% of overall profits. </w:t>
      </w:r>
    </w:p>
    <w:p w14:paraId="7CC27DD5" w14:textId="4DA4EAAF" w:rsidR="00E01B2B" w:rsidRDefault="00E01B2B" w:rsidP="00883496">
      <w:pPr>
        <w:pStyle w:val="ListParagraph"/>
        <w:ind w:left="360"/>
        <w:rPr>
          <w:color w:val="808080" w:themeColor="background1" w:themeShade="80"/>
        </w:rPr>
      </w:pPr>
      <w:r>
        <w:rPr>
          <w:color w:val="808080" w:themeColor="background1" w:themeShade="80"/>
        </w:rPr>
        <w:t>The technology category has</w:t>
      </w:r>
      <w:r w:rsidR="009B313C">
        <w:rPr>
          <w:color w:val="808080" w:themeColor="background1" w:themeShade="80"/>
        </w:rPr>
        <w:t xml:space="preserve"> increased year on year with</w:t>
      </w:r>
      <w:r>
        <w:rPr>
          <w:color w:val="808080" w:themeColor="background1" w:themeShade="80"/>
        </w:rPr>
        <w:t xml:space="preserve"> an average profit of $36 363,74 and a growth that fluctuates with an Average Profit Rate of 24,39%.</w:t>
      </w:r>
    </w:p>
    <w:p w14:paraId="62535F3C" w14:textId="77777777" w:rsidR="00C20370" w:rsidRPr="00C20370" w:rsidRDefault="00C20370" w:rsidP="00C20370">
      <w:pPr>
        <w:rPr>
          <w:color w:val="808080" w:themeColor="background1" w:themeShade="80"/>
        </w:rPr>
      </w:pPr>
    </w:p>
    <w:tbl>
      <w:tblPr>
        <w:tblpPr w:leftFromText="180" w:rightFromText="180" w:vertAnchor="text" w:horzAnchor="page" w:tblpX="6659" w:tblpY="696"/>
        <w:tblW w:w="4378" w:type="dxa"/>
        <w:tblLook w:val="04A0" w:firstRow="1" w:lastRow="0" w:firstColumn="1" w:lastColumn="0" w:noHBand="0" w:noVBand="1"/>
      </w:tblPr>
      <w:tblGrid>
        <w:gridCol w:w="1976"/>
        <w:gridCol w:w="2402"/>
      </w:tblGrid>
      <w:tr w:rsidR="00787FF6" w:rsidRPr="00BE223A" w14:paraId="0D041475" w14:textId="77777777" w:rsidTr="00787FF6">
        <w:trPr>
          <w:trHeight w:val="205"/>
        </w:trPr>
        <w:tc>
          <w:tcPr>
            <w:tcW w:w="4378" w:type="dxa"/>
            <w:gridSpan w:val="2"/>
            <w:tcBorders>
              <w:top w:val="single" w:sz="8" w:space="0" w:color="BF8F00"/>
              <w:left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6E2B4507" w14:textId="2C9961B9" w:rsidR="00787FF6" w:rsidRPr="00BE223A" w:rsidRDefault="00787FF6" w:rsidP="00BE22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ZA"/>
              </w:rPr>
            </w:pPr>
            <w:r w:rsidRPr="00BE223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ZA"/>
              </w:rPr>
              <w:t>Sum of Profit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ZA"/>
              </w:rPr>
              <w:t xml:space="preserve"> by Segment</w:t>
            </w:r>
          </w:p>
        </w:tc>
      </w:tr>
      <w:tr w:rsidR="00BE223A" w:rsidRPr="00BE223A" w14:paraId="2291F00F" w14:textId="77777777" w:rsidTr="00787FF6">
        <w:trPr>
          <w:trHeight w:val="414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2ED2" w14:textId="77777777" w:rsidR="00BE223A" w:rsidRPr="00C20370" w:rsidRDefault="00BE223A" w:rsidP="00BE223A">
            <w:pPr>
              <w:spacing w:after="0" w:line="240" w:lineRule="auto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Consumer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0594" w14:textId="77777777" w:rsidR="00BE223A" w:rsidRPr="00C20370" w:rsidRDefault="00BE223A" w:rsidP="00BE2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$45 580,92</w:t>
            </w:r>
          </w:p>
        </w:tc>
      </w:tr>
      <w:tr w:rsidR="00BE223A" w:rsidRPr="00BE223A" w14:paraId="484E9E18" w14:textId="77777777" w:rsidTr="00787FF6">
        <w:trPr>
          <w:trHeight w:val="414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3B80" w14:textId="77777777" w:rsidR="00BE223A" w:rsidRPr="00C20370" w:rsidRDefault="00BE223A" w:rsidP="00BE223A">
            <w:pPr>
              <w:spacing w:after="0" w:line="240" w:lineRule="auto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Corporate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855A" w14:textId="77777777" w:rsidR="00BE223A" w:rsidRPr="00C20370" w:rsidRDefault="00BE223A" w:rsidP="00BE2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$26 837,92</w:t>
            </w:r>
          </w:p>
        </w:tc>
      </w:tr>
      <w:tr w:rsidR="00BE223A" w:rsidRPr="00BE223A" w14:paraId="14F50FBB" w14:textId="77777777" w:rsidTr="00787FF6">
        <w:trPr>
          <w:trHeight w:val="414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D4BD" w14:textId="77777777" w:rsidR="00BE223A" w:rsidRPr="00C20370" w:rsidRDefault="00BE223A" w:rsidP="00BE223A">
            <w:pPr>
              <w:spacing w:after="0" w:line="240" w:lineRule="auto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Home Office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1E38" w14:textId="77777777" w:rsidR="00BE223A" w:rsidRPr="00C20370" w:rsidRDefault="00BE223A" w:rsidP="00BE2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$21 088,67</w:t>
            </w:r>
          </w:p>
        </w:tc>
      </w:tr>
    </w:tbl>
    <w:p w14:paraId="286A76D5" w14:textId="2DA19636" w:rsidR="00883496" w:rsidRPr="00C20370" w:rsidRDefault="00BE223A" w:rsidP="009B313C">
      <w:pPr>
        <w:pStyle w:val="ListParagraph"/>
        <w:numPr>
          <w:ilvl w:val="0"/>
          <w:numId w:val="3"/>
        </w:numPr>
        <w:rPr>
          <w:b/>
          <w:color w:val="171717" w:themeColor="background2" w:themeShade="1A"/>
        </w:rPr>
      </w:pPr>
      <w:r w:rsidRPr="00C20370">
        <w:rPr>
          <w:b/>
          <w:noProof/>
          <w:color w:val="171717" w:themeColor="background2" w:themeShade="1A"/>
        </w:rPr>
        <w:drawing>
          <wp:anchor distT="0" distB="0" distL="114300" distR="114300" simplePos="0" relativeHeight="251661312" behindDoc="0" locked="0" layoutInCell="1" allowOverlap="1" wp14:anchorId="3AFACE98" wp14:editId="0BA65D0D">
            <wp:simplePos x="0" y="0"/>
            <wp:positionH relativeFrom="column">
              <wp:posOffset>309245</wp:posOffset>
            </wp:positionH>
            <wp:positionV relativeFrom="paragraph">
              <wp:posOffset>410210</wp:posOffset>
            </wp:positionV>
            <wp:extent cx="3336925" cy="1864360"/>
            <wp:effectExtent l="0" t="0" r="15875" b="2540"/>
            <wp:wrapSquare wrapText="bothSides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58B15CF-3507-4570-8AC8-87E1317B93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C2D" w:rsidRPr="00C20370">
        <w:rPr>
          <w:b/>
          <w:color w:val="171717" w:themeColor="background2" w:themeShade="1A"/>
        </w:rPr>
        <w:t xml:space="preserve">What </w:t>
      </w:r>
      <w:r w:rsidR="00C56E1B" w:rsidRPr="00C20370">
        <w:rPr>
          <w:b/>
          <w:color w:val="171717" w:themeColor="background2" w:themeShade="1A"/>
        </w:rPr>
        <w:t xml:space="preserve">was the most </w:t>
      </w:r>
      <w:r w:rsidR="006B6C11" w:rsidRPr="00C20370">
        <w:rPr>
          <w:b/>
          <w:color w:val="171717" w:themeColor="background2" w:themeShade="1A"/>
        </w:rPr>
        <w:t>profitable segment in 2016? By what percentage is it larger than the second most profitable</w:t>
      </w:r>
      <w:r w:rsidR="006B6C11" w:rsidRPr="00C20370">
        <w:rPr>
          <w:color w:val="171717" w:themeColor="background2" w:themeShade="1A"/>
        </w:rPr>
        <w:t xml:space="preserve"> </w:t>
      </w:r>
      <w:r w:rsidR="006B6C11" w:rsidRPr="00C20370">
        <w:rPr>
          <w:b/>
          <w:color w:val="171717" w:themeColor="background2" w:themeShade="1A"/>
        </w:rPr>
        <w:t>segment?</w:t>
      </w:r>
    </w:p>
    <w:p w14:paraId="105839BA" w14:textId="77777777" w:rsidR="00BE223A" w:rsidRDefault="00BE223A" w:rsidP="006B6C11">
      <w:pPr>
        <w:tabs>
          <w:tab w:val="left" w:pos="1253"/>
        </w:tabs>
        <w:rPr>
          <w:color w:val="808080" w:themeColor="background1" w:themeShade="80"/>
        </w:rPr>
      </w:pPr>
    </w:p>
    <w:p w14:paraId="04C9DB6E" w14:textId="7D058939" w:rsidR="006B6C11" w:rsidRDefault="006B6C11" w:rsidP="006B6C11">
      <w:pPr>
        <w:tabs>
          <w:tab w:val="left" w:pos="1253"/>
        </w:tabs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The Consumer segment is the most profitable for 2016 </w:t>
      </w:r>
      <w:r w:rsidR="00BE223A">
        <w:rPr>
          <w:color w:val="808080" w:themeColor="background1" w:themeShade="80"/>
        </w:rPr>
        <w:t>with</w:t>
      </w:r>
      <w:r>
        <w:rPr>
          <w:color w:val="808080" w:themeColor="background1" w:themeShade="80"/>
        </w:rPr>
        <w:t xml:space="preserve"> a profit of $45 580,92.</w:t>
      </w:r>
      <w:r w:rsidR="00BE223A">
        <w:rPr>
          <w:color w:val="808080" w:themeColor="background1" w:themeShade="80"/>
        </w:rPr>
        <w:t xml:space="preserve"> With a percentage difference 26%.</w:t>
      </w:r>
    </w:p>
    <w:p w14:paraId="098207DB" w14:textId="77777777" w:rsidR="00F71062" w:rsidRDefault="00F71062" w:rsidP="00F71062">
      <w:pPr>
        <w:tabs>
          <w:tab w:val="left" w:pos="1253"/>
        </w:tabs>
        <w:rPr>
          <w:color w:val="808080" w:themeColor="background1" w:themeShade="80"/>
        </w:rPr>
      </w:pPr>
    </w:p>
    <w:p w14:paraId="6020A688" w14:textId="4E21E8E4" w:rsidR="00BE223A" w:rsidRPr="00C20370" w:rsidRDefault="00BE223A" w:rsidP="00F71062">
      <w:pPr>
        <w:pStyle w:val="ListParagraph"/>
        <w:numPr>
          <w:ilvl w:val="0"/>
          <w:numId w:val="3"/>
        </w:numPr>
        <w:tabs>
          <w:tab w:val="left" w:pos="1253"/>
        </w:tabs>
        <w:rPr>
          <w:b/>
          <w:color w:val="171717" w:themeColor="background2" w:themeShade="1A"/>
          <w:szCs w:val="20"/>
        </w:rPr>
      </w:pPr>
      <w:r w:rsidRPr="00C20370">
        <w:rPr>
          <w:b/>
          <w:color w:val="171717" w:themeColor="background2" w:themeShade="1A"/>
          <w:szCs w:val="20"/>
        </w:rPr>
        <w:t>Which State and City are the least profitable in 2016 and what is their actual profit?</w:t>
      </w:r>
    </w:p>
    <w:tbl>
      <w:tblPr>
        <w:tblpPr w:leftFromText="180" w:rightFromText="180" w:vertAnchor="text" w:horzAnchor="margin" w:tblpY="273"/>
        <w:tblW w:w="4765" w:type="dxa"/>
        <w:tblLook w:val="04A0" w:firstRow="1" w:lastRow="0" w:firstColumn="1" w:lastColumn="0" w:noHBand="0" w:noVBand="1"/>
      </w:tblPr>
      <w:tblGrid>
        <w:gridCol w:w="2249"/>
        <w:gridCol w:w="2516"/>
      </w:tblGrid>
      <w:tr w:rsidR="00F71062" w:rsidRPr="00F71062" w14:paraId="4E11941E" w14:textId="77777777" w:rsidTr="00F71062">
        <w:trPr>
          <w:trHeight w:val="413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B97AB2F" w14:textId="77777777" w:rsidR="00F71062" w:rsidRPr="00F71062" w:rsidRDefault="00F71062" w:rsidP="00F710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ZA"/>
              </w:rPr>
            </w:pPr>
            <w:r w:rsidRPr="00F7106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ZA"/>
              </w:rPr>
              <w:t>Profit Loss by City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48F0723" w14:textId="77777777" w:rsidR="00F71062" w:rsidRPr="00F71062" w:rsidRDefault="00F71062" w:rsidP="00F710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ZA"/>
              </w:rPr>
            </w:pPr>
            <w:r w:rsidRPr="00F7106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ZA"/>
              </w:rPr>
              <w:t>2016</w:t>
            </w:r>
          </w:p>
        </w:tc>
      </w:tr>
      <w:tr w:rsidR="00F71062" w:rsidRPr="00F71062" w14:paraId="72EDD39A" w14:textId="77777777" w:rsidTr="00F71062">
        <w:trPr>
          <w:trHeight w:val="321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2AE7" w14:textId="77777777" w:rsidR="00F71062" w:rsidRPr="00C20370" w:rsidRDefault="00F71062" w:rsidP="00F710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20"/>
                <w:szCs w:val="20"/>
                <w:lang w:eastAsia="en-ZA"/>
              </w:rPr>
            </w:pPr>
            <w:r w:rsidRPr="00C20370">
              <w:rPr>
                <w:rFonts w:ascii="Arial" w:eastAsia="Times New Roman" w:hAnsi="Arial" w:cs="Arial"/>
                <w:color w:val="808080" w:themeColor="background1" w:themeShade="80"/>
                <w:sz w:val="20"/>
                <w:szCs w:val="20"/>
                <w:lang w:eastAsia="en-ZA"/>
              </w:rPr>
              <w:t>Chicago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97E4" w14:textId="77777777" w:rsidR="00F71062" w:rsidRPr="00C20370" w:rsidRDefault="00F71062" w:rsidP="00F710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20"/>
                <w:szCs w:val="20"/>
                <w:lang w:eastAsia="en-ZA"/>
              </w:rPr>
            </w:pPr>
            <w:r w:rsidRPr="00C20370">
              <w:rPr>
                <w:rFonts w:ascii="Arial" w:eastAsia="Times New Roman" w:hAnsi="Arial" w:cs="Arial"/>
                <w:color w:val="808080" w:themeColor="background1" w:themeShade="80"/>
                <w:sz w:val="20"/>
                <w:szCs w:val="20"/>
                <w:lang w:eastAsia="en-ZA"/>
              </w:rPr>
              <w:t>-$5 701,13</w:t>
            </w:r>
          </w:p>
        </w:tc>
      </w:tr>
    </w:tbl>
    <w:tbl>
      <w:tblPr>
        <w:tblpPr w:leftFromText="180" w:rightFromText="180" w:vertAnchor="text" w:horzAnchor="margin" w:tblpXSpec="right" w:tblpY="273"/>
        <w:tblW w:w="5111" w:type="dxa"/>
        <w:tblLook w:val="04A0" w:firstRow="1" w:lastRow="0" w:firstColumn="1" w:lastColumn="0" w:noHBand="0" w:noVBand="1"/>
      </w:tblPr>
      <w:tblGrid>
        <w:gridCol w:w="2509"/>
        <w:gridCol w:w="2602"/>
      </w:tblGrid>
      <w:tr w:rsidR="00F71062" w:rsidRPr="00F71062" w14:paraId="56369FA7" w14:textId="77777777" w:rsidTr="00A0123C">
        <w:trPr>
          <w:trHeight w:val="402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7DB58823" w14:textId="77777777" w:rsidR="00F71062" w:rsidRPr="00F71062" w:rsidRDefault="00F71062" w:rsidP="00F710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ZA"/>
              </w:rPr>
            </w:pPr>
            <w:r w:rsidRPr="00F7106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ZA"/>
              </w:rPr>
              <w:t>Profit Loss by State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3834A1F9" w14:textId="77777777" w:rsidR="00F71062" w:rsidRPr="00F71062" w:rsidRDefault="00F71062" w:rsidP="00F710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ZA"/>
              </w:rPr>
            </w:pPr>
            <w:r w:rsidRPr="00F7106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ZA"/>
              </w:rPr>
              <w:t>2016</w:t>
            </w:r>
          </w:p>
        </w:tc>
      </w:tr>
      <w:tr w:rsidR="00A0123C" w:rsidRPr="00F71062" w14:paraId="5B2DEB67" w14:textId="77777777" w:rsidTr="00A0123C">
        <w:trPr>
          <w:trHeight w:val="312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7AD7A" w14:textId="77777777" w:rsidR="00F71062" w:rsidRPr="00C20370" w:rsidRDefault="00F71062" w:rsidP="00F710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20"/>
                <w:szCs w:val="20"/>
                <w:lang w:eastAsia="en-ZA"/>
              </w:rPr>
            </w:pPr>
            <w:r w:rsidRPr="00C20370">
              <w:rPr>
                <w:rFonts w:ascii="Arial" w:eastAsia="Times New Roman" w:hAnsi="Arial" w:cs="Arial"/>
                <w:color w:val="808080" w:themeColor="background1" w:themeShade="80"/>
                <w:sz w:val="20"/>
                <w:szCs w:val="20"/>
                <w:lang w:eastAsia="en-ZA"/>
              </w:rPr>
              <w:t>Texas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6D2B3" w14:textId="77777777" w:rsidR="00F71062" w:rsidRPr="00C20370" w:rsidRDefault="00F71062" w:rsidP="00F710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20"/>
                <w:szCs w:val="20"/>
                <w:lang w:eastAsia="en-ZA"/>
              </w:rPr>
            </w:pPr>
            <w:r w:rsidRPr="00C20370">
              <w:rPr>
                <w:rFonts w:ascii="Arial" w:eastAsia="Times New Roman" w:hAnsi="Arial" w:cs="Arial"/>
                <w:color w:val="808080" w:themeColor="background1" w:themeShade="80"/>
                <w:sz w:val="20"/>
                <w:szCs w:val="20"/>
                <w:lang w:eastAsia="en-ZA"/>
              </w:rPr>
              <w:t>-$8 838,50</w:t>
            </w:r>
          </w:p>
        </w:tc>
      </w:tr>
    </w:tbl>
    <w:p w14:paraId="2D2AB84C" w14:textId="77777777" w:rsidR="00BE223A" w:rsidRPr="00F71062" w:rsidRDefault="00BE223A" w:rsidP="006B6C11">
      <w:pPr>
        <w:tabs>
          <w:tab w:val="left" w:pos="1253"/>
        </w:tabs>
        <w:rPr>
          <w:color w:val="808080" w:themeColor="background1" w:themeShade="80"/>
          <w:sz w:val="20"/>
          <w:szCs w:val="20"/>
        </w:rPr>
      </w:pPr>
    </w:p>
    <w:p w14:paraId="28FB49FC" w14:textId="77777777" w:rsidR="006B6C11" w:rsidRDefault="006B6C11" w:rsidP="006B6C11">
      <w:pPr>
        <w:tabs>
          <w:tab w:val="left" w:pos="1253"/>
        </w:tabs>
        <w:rPr>
          <w:color w:val="808080" w:themeColor="background1" w:themeShade="80"/>
        </w:rPr>
      </w:pPr>
    </w:p>
    <w:p w14:paraId="0A0831A8" w14:textId="77777777" w:rsidR="00A0123C" w:rsidRDefault="00A0123C" w:rsidP="00A0123C">
      <w:pPr>
        <w:pStyle w:val="ListParagraph"/>
        <w:ind w:left="360"/>
        <w:rPr>
          <w:color w:val="808080" w:themeColor="background1" w:themeShade="80"/>
        </w:rPr>
      </w:pPr>
    </w:p>
    <w:p w14:paraId="1A0FE8DB" w14:textId="1E821E4C" w:rsidR="00A0123C" w:rsidRDefault="00A0123C" w:rsidP="00A0123C">
      <w:pPr>
        <w:rPr>
          <w:color w:val="808080" w:themeColor="background1" w:themeShade="80"/>
        </w:rPr>
      </w:pPr>
    </w:p>
    <w:p w14:paraId="00D11D75" w14:textId="7163CECB" w:rsidR="001F0999" w:rsidRDefault="001F0999" w:rsidP="00A0123C">
      <w:pPr>
        <w:rPr>
          <w:color w:val="808080" w:themeColor="background1" w:themeShade="80"/>
        </w:rPr>
      </w:pPr>
    </w:p>
    <w:p w14:paraId="1D0131EB" w14:textId="77777777" w:rsidR="001F0999" w:rsidRPr="00A0123C" w:rsidRDefault="001F0999" w:rsidP="00A0123C">
      <w:pPr>
        <w:rPr>
          <w:color w:val="808080" w:themeColor="background1" w:themeShade="80"/>
        </w:rPr>
      </w:pPr>
    </w:p>
    <w:p w14:paraId="741CF60D" w14:textId="3D845DD1" w:rsidR="004D33CD" w:rsidRPr="00C20370" w:rsidRDefault="004D33CD" w:rsidP="00A0123C">
      <w:pPr>
        <w:pStyle w:val="ListParagraph"/>
        <w:numPr>
          <w:ilvl w:val="0"/>
          <w:numId w:val="3"/>
        </w:numPr>
        <w:rPr>
          <w:b/>
          <w:color w:val="171717" w:themeColor="background2" w:themeShade="1A"/>
        </w:rPr>
      </w:pPr>
      <w:r w:rsidRPr="00C20370">
        <w:rPr>
          <w:b/>
          <w:color w:val="171717" w:themeColor="background2" w:themeShade="1A"/>
        </w:rPr>
        <w:lastRenderedPageBreak/>
        <w:t>What is the most common reason for product returns over the four-year period? How do you suggest the company solves this issue?</w:t>
      </w:r>
    </w:p>
    <w:p w14:paraId="1B6BCA41" w14:textId="0E932FF8" w:rsidR="00A0123C" w:rsidRDefault="004D33CD" w:rsidP="004D33CD">
      <w:pPr>
        <w:rPr>
          <w:color w:val="808080" w:themeColor="background1" w:themeShade="8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77F8D1" wp14:editId="602F24DF">
            <wp:simplePos x="0" y="0"/>
            <wp:positionH relativeFrom="column">
              <wp:posOffset>-269240</wp:posOffset>
            </wp:positionH>
            <wp:positionV relativeFrom="paragraph">
              <wp:posOffset>-3175</wp:posOffset>
            </wp:positionV>
            <wp:extent cx="4183380" cy="1647190"/>
            <wp:effectExtent l="0" t="0" r="7620" b="0"/>
            <wp:wrapSquare wrapText="bothSides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930AC78-9DB9-434C-AC26-FC05ECD40C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808080" w:themeColor="background1" w:themeShade="80"/>
        </w:rPr>
        <w:t xml:space="preserve">The </w:t>
      </w:r>
      <w:r w:rsidR="00A0123C">
        <w:rPr>
          <w:color w:val="808080" w:themeColor="background1" w:themeShade="80"/>
        </w:rPr>
        <w:t>Inaccuracy</w:t>
      </w:r>
      <w:r>
        <w:rPr>
          <w:color w:val="808080" w:themeColor="background1" w:themeShade="80"/>
        </w:rPr>
        <w:t xml:space="preserve"> of Product </w:t>
      </w:r>
      <w:r w:rsidR="00A0123C">
        <w:rPr>
          <w:color w:val="808080" w:themeColor="background1" w:themeShade="80"/>
        </w:rPr>
        <w:t>Description</w:t>
      </w:r>
      <w:r>
        <w:rPr>
          <w:color w:val="808080" w:themeColor="background1" w:themeShade="80"/>
        </w:rPr>
        <w:t xml:space="preserve"> </w:t>
      </w:r>
      <w:r w:rsidR="00A0123C">
        <w:rPr>
          <w:color w:val="808080" w:themeColor="background1" w:themeShade="80"/>
        </w:rPr>
        <w:t xml:space="preserve">has become the main reason for unhappiness for customers. </w:t>
      </w:r>
    </w:p>
    <w:p w14:paraId="302578FB" w14:textId="77777777" w:rsidR="00A0123C" w:rsidRDefault="00A0123C" w:rsidP="004D33CD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We would recommend that Superstore invest in a robust tracking system, which matches the Sales Invoice with Delivery ticket. </w:t>
      </w:r>
    </w:p>
    <w:p w14:paraId="19ACA06D" w14:textId="0205F801" w:rsidR="00A0123C" w:rsidRDefault="00A0123C" w:rsidP="004D33CD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This barcode scanning system would compare the SKU’s on both receipts generated.</w:t>
      </w:r>
    </w:p>
    <w:p w14:paraId="4D705D89" w14:textId="13AF10E9" w:rsidR="004D33CD" w:rsidRDefault="004D33CD" w:rsidP="004D33CD">
      <w:pPr>
        <w:rPr>
          <w:color w:val="808080" w:themeColor="background1" w:themeShade="80"/>
        </w:rPr>
      </w:pPr>
    </w:p>
    <w:p w14:paraId="0D150BD6" w14:textId="7EB56B4C" w:rsidR="004D33CD" w:rsidRPr="00C20370" w:rsidRDefault="00A0123C" w:rsidP="00A0123C">
      <w:pPr>
        <w:pStyle w:val="ListParagraph"/>
        <w:numPr>
          <w:ilvl w:val="0"/>
          <w:numId w:val="3"/>
        </w:numPr>
        <w:rPr>
          <w:b/>
          <w:color w:val="171717" w:themeColor="background2" w:themeShade="1A"/>
        </w:rPr>
      </w:pPr>
      <w:r w:rsidRPr="00C20370">
        <w:rPr>
          <w:b/>
          <w:color w:val="171717" w:themeColor="background2" w:themeShade="1A"/>
        </w:rPr>
        <w:t>What return issue seems to have gotten considerably worse in 2016? What do you recommend the company do to fix this?</w:t>
      </w:r>
      <w:r w:rsidR="00146585" w:rsidRPr="00C20370">
        <w:rPr>
          <w:b/>
          <w:noProof/>
          <w:color w:val="171717" w:themeColor="background2" w:themeShade="1A"/>
        </w:rPr>
        <w:t xml:space="preserve"> </w:t>
      </w:r>
    </w:p>
    <w:p w14:paraId="4BB49B0B" w14:textId="29C4A15D" w:rsidR="00F71062" w:rsidRDefault="00146585" w:rsidP="006B6C11">
      <w:pPr>
        <w:rPr>
          <w:color w:val="808080" w:themeColor="background1" w:themeShade="80"/>
        </w:rPr>
      </w:pPr>
      <w:r>
        <w:rPr>
          <w:noProof/>
        </w:rPr>
        <w:drawing>
          <wp:inline distT="0" distB="0" distL="0" distR="0" wp14:anchorId="47507682" wp14:editId="6EE6FB9F">
            <wp:extent cx="6728346" cy="2303780"/>
            <wp:effectExtent l="0" t="0" r="15875" b="127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EE94AA4B-FAB0-4E00-8FB2-4D03008680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6B6C11">
        <w:rPr>
          <w:color w:val="808080" w:themeColor="background1" w:themeShade="80"/>
        </w:rPr>
        <w:br w:type="textWrapping" w:clear="all"/>
      </w:r>
    </w:p>
    <w:tbl>
      <w:tblPr>
        <w:tblpPr w:leftFromText="180" w:rightFromText="180" w:vertAnchor="text" w:tblpY="1"/>
        <w:tblOverlap w:val="never"/>
        <w:tblW w:w="5891" w:type="dxa"/>
        <w:tblLook w:val="04A0" w:firstRow="1" w:lastRow="0" w:firstColumn="1" w:lastColumn="0" w:noHBand="0" w:noVBand="1"/>
      </w:tblPr>
      <w:tblGrid>
        <w:gridCol w:w="4659"/>
        <w:gridCol w:w="703"/>
        <w:gridCol w:w="703"/>
        <w:gridCol w:w="1051"/>
      </w:tblGrid>
      <w:tr w:rsidR="00146585" w:rsidRPr="00146585" w14:paraId="5D63EC1E" w14:textId="77777777" w:rsidTr="00C20370">
        <w:trPr>
          <w:trHeight w:val="307"/>
        </w:trPr>
        <w:tc>
          <w:tcPr>
            <w:tcW w:w="5891" w:type="dxa"/>
            <w:gridSpan w:val="4"/>
            <w:tcBorders>
              <w:top w:val="nil"/>
              <w:left w:val="nil"/>
              <w:right w:val="nil"/>
            </w:tcBorders>
            <w:shd w:val="clear" w:color="000000" w:fill="ED7D31"/>
            <w:noWrap/>
            <w:vAlign w:val="center"/>
            <w:hideMark/>
          </w:tcPr>
          <w:p w14:paraId="11C2131D" w14:textId="77777777" w:rsidR="00146585" w:rsidRPr="00146585" w:rsidRDefault="00146585" w:rsidP="008B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ZA"/>
              </w:rPr>
              <w:t>Reasons for Returns</w:t>
            </w:r>
          </w:p>
        </w:tc>
      </w:tr>
      <w:tr w:rsidR="00C20370" w:rsidRPr="00C20370" w14:paraId="23A41777" w14:textId="77777777" w:rsidTr="00C20370">
        <w:trPr>
          <w:trHeight w:val="258"/>
        </w:trPr>
        <w:tc>
          <w:tcPr>
            <w:tcW w:w="4659" w:type="dxa"/>
            <w:tcBorders>
              <w:top w:val="nil"/>
              <w:left w:val="nil"/>
              <w:right w:val="nil"/>
            </w:tcBorders>
            <w:shd w:val="clear" w:color="auto" w:fill="ED7D31" w:themeFill="accent2"/>
            <w:noWrap/>
            <w:vAlign w:val="center"/>
            <w:hideMark/>
          </w:tcPr>
          <w:p w14:paraId="5D6617A8" w14:textId="665710FA" w:rsidR="00146585" w:rsidRPr="00C20370" w:rsidRDefault="00123E0C" w:rsidP="008B38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lang w:eastAsia="en-ZA"/>
              </w:rPr>
              <w:t xml:space="preserve"> </w:t>
            </w:r>
            <w:r w:rsidR="00146585" w:rsidRPr="00C20370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lang w:eastAsia="en-ZA"/>
              </w:rPr>
              <w:t>Returns per Customer Each Year</w:t>
            </w:r>
          </w:p>
        </w:tc>
        <w:tc>
          <w:tcPr>
            <w:tcW w:w="354" w:type="dxa"/>
            <w:tcBorders>
              <w:top w:val="nil"/>
              <w:left w:val="nil"/>
              <w:right w:val="nil"/>
            </w:tcBorders>
            <w:shd w:val="clear" w:color="auto" w:fill="ED7D31" w:themeFill="accent2"/>
            <w:noWrap/>
            <w:vAlign w:val="center"/>
            <w:hideMark/>
          </w:tcPr>
          <w:p w14:paraId="30A6834A" w14:textId="77777777" w:rsidR="00146585" w:rsidRPr="00C20370" w:rsidRDefault="00146585" w:rsidP="008B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lang w:eastAsia="en-ZA"/>
              </w:rPr>
              <w:t>2015</w:t>
            </w:r>
          </w:p>
        </w:tc>
        <w:tc>
          <w:tcPr>
            <w:tcW w:w="354" w:type="dxa"/>
            <w:tcBorders>
              <w:top w:val="nil"/>
              <w:left w:val="nil"/>
              <w:right w:val="nil"/>
            </w:tcBorders>
            <w:shd w:val="clear" w:color="auto" w:fill="ED7D31" w:themeFill="accent2"/>
            <w:noWrap/>
            <w:vAlign w:val="center"/>
            <w:hideMark/>
          </w:tcPr>
          <w:p w14:paraId="7F078000" w14:textId="77777777" w:rsidR="00146585" w:rsidRPr="00C20370" w:rsidRDefault="00146585" w:rsidP="008B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lang w:eastAsia="en-ZA"/>
              </w:rPr>
              <w:t>2016</w:t>
            </w:r>
          </w:p>
        </w:tc>
        <w:tc>
          <w:tcPr>
            <w:tcW w:w="522" w:type="dxa"/>
            <w:tcBorders>
              <w:top w:val="nil"/>
              <w:left w:val="nil"/>
              <w:right w:val="nil"/>
            </w:tcBorders>
            <w:shd w:val="clear" w:color="auto" w:fill="ED7D31" w:themeFill="accent2"/>
            <w:noWrap/>
            <w:vAlign w:val="center"/>
            <w:hideMark/>
          </w:tcPr>
          <w:p w14:paraId="5DC68333" w14:textId="77777777" w:rsidR="00146585" w:rsidRPr="00C20370" w:rsidRDefault="00146585" w:rsidP="008B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lang w:eastAsia="en-ZA"/>
              </w:rPr>
            </w:pPr>
            <w:r w:rsidRPr="00C20370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lang w:eastAsia="en-ZA"/>
              </w:rPr>
              <w:t>Increase by %</w:t>
            </w:r>
          </w:p>
        </w:tc>
      </w:tr>
      <w:tr w:rsidR="00146585" w:rsidRPr="00146585" w14:paraId="2B081669" w14:textId="77777777" w:rsidTr="00C20370">
        <w:trPr>
          <w:trHeight w:val="258"/>
        </w:trPr>
        <w:tc>
          <w:tcPr>
            <w:tcW w:w="465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50532" w14:textId="77777777" w:rsidR="00146585" w:rsidRPr="00146585" w:rsidRDefault="00146585" w:rsidP="008B38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Product Description Inaccurate</w:t>
            </w:r>
          </w:p>
        </w:tc>
        <w:tc>
          <w:tcPr>
            <w:tcW w:w="35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54E9E" w14:textId="77777777" w:rsidR="00146585" w:rsidRPr="00146585" w:rsidRDefault="00146585" w:rsidP="008B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82</w:t>
            </w:r>
          </w:p>
        </w:tc>
        <w:tc>
          <w:tcPr>
            <w:tcW w:w="35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5DC1E" w14:textId="77777777" w:rsidR="00146585" w:rsidRPr="00146585" w:rsidRDefault="00146585" w:rsidP="008B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98</w:t>
            </w:r>
          </w:p>
        </w:tc>
        <w:tc>
          <w:tcPr>
            <w:tcW w:w="5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A20C6" w14:textId="77777777" w:rsidR="00146585" w:rsidRPr="00146585" w:rsidRDefault="00146585" w:rsidP="008B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16,33%</w:t>
            </w:r>
          </w:p>
        </w:tc>
      </w:tr>
      <w:tr w:rsidR="00146585" w:rsidRPr="00146585" w14:paraId="66A60490" w14:textId="77777777" w:rsidTr="008B3882">
        <w:trPr>
          <w:trHeight w:val="258"/>
        </w:trPr>
        <w:tc>
          <w:tcPr>
            <w:tcW w:w="4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082BF" w14:textId="1F1E820E" w:rsidR="00146585" w:rsidRPr="00146585" w:rsidRDefault="00146585" w:rsidP="008B38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Customer Dissati</w:t>
            </w:r>
            <w:r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s</w:t>
            </w: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fied with Product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D9F6" w14:textId="77777777" w:rsidR="00146585" w:rsidRPr="00146585" w:rsidRDefault="00146585" w:rsidP="008B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57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AA6E1" w14:textId="77777777" w:rsidR="00146585" w:rsidRPr="00146585" w:rsidRDefault="00146585" w:rsidP="008B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51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0F0E3" w14:textId="77777777" w:rsidR="00146585" w:rsidRPr="00146585" w:rsidRDefault="00146585" w:rsidP="008B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-11,76%</w:t>
            </w:r>
          </w:p>
        </w:tc>
      </w:tr>
      <w:tr w:rsidR="00146585" w:rsidRPr="00146585" w14:paraId="1AAE8162" w14:textId="77777777" w:rsidTr="008B3882">
        <w:trPr>
          <w:trHeight w:val="258"/>
        </w:trPr>
        <w:tc>
          <w:tcPr>
            <w:tcW w:w="4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9E8D3" w14:textId="77777777" w:rsidR="00146585" w:rsidRPr="00146585" w:rsidRDefault="00146585" w:rsidP="008B38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Product Damaged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59855" w14:textId="77777777" w:rsidR="00146585" w:rsidRPr="00146585" w:rsidRDefault="00146585" w:rsidP="008B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10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1B8C3" w14:textId="77777777" w:rsidR="00146585" w:rsidRPr="00146585" w:rsidRDefault="00146585" w:rsidP="008B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49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A0069" w14:textId="77777777" w:rsidR="00146585" w:rsidRPr="00146585" w:rsidRDefault="00146585" w:rsidP="008B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79,59%</w:t>
            </w:r>
          </w:p>
        </w:tc>
      </w:tr>
      <w:tr w:rsidR="00146585" w:rsidRPr="00146585" w14:paraId="6E900007" w14:textId="77777777" w:rsidTr="008B3882">
        <w:trPr>
          <w:trHeight w:val="258"/>
        </w:trPr>
        <w:tc>
          <w:tcPr>
            <w:tcW w:w="4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639C9" w14:textId="77777777" w:rsidR="00146585" w:rsidRPr="00146585" w:rsidRDefault="00146585" w:rsidP="008B38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Product Ordered Accidently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39BCE" w14:textId="77777777" w:rsidR="00146585" w:rsidRPr="00146585" w:rsidRDefault="00146585" w:rsidP="008B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21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CE1C3" w14:textId="77777777" w:rsidR="00146585" w:rsidRPr="00146585" w:rsidRDefault="00146585" w:rsidP="008B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33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DCAF5" w14:textId="77777777" w:rsidR="00146585" w:rsidRPr="00146585" w:rsidRDefault="00146585" w:rsidP="008B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36,36%</w:t>
            </w:r>
          </w:p>
        </w:tc>
      </w:tr>
      <w:tr w:rsidR="00146585" w:rsidRPr="00146585" w14:paraId="22AD06EA" w14:textId="77777777" w:rsidTr="008B3882">
        <w:trPr>
          <w:trHeight w:val="258"/>
        </w:trPr>
        <w:tc>
          <w:tcPr>
            <w:tcW w:w="4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E0362" w14:textId="77777777" w:rsidR="00146585" w:rsidRPr="00146585" w:rsidRDefault="00146585" w:rsidP="008B38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Product Arrived After Promised Delivery Date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7D60" w14:textId="77777777" w:rsidR="00146585" w:rsidRPr="00146585" w:rsidRDefault="00146585" w:rsidP="008B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18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A9D40" w14:textId="77777777" w:rsidR="00146585" w:rsidRPr="00146585" w:rsidRDefault="00146585" w:rsidP="008B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29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F5DC4" w14:textId="77777777" w:rsidR="00146585" w:rsidRPr="00146585" w:rsidRDefault="00146585" w:rsidP="008B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37,93%</w:t>
            </w:r>
          </w:p>
        </w:tc>
      </w:tr>
      <w:tr w:rsidR="00146585" w:rsidRPr="00146585" w14:paraId="0B98A191" w14:textId="77777777" w:rsidTr="008B3882">
        <w:trPr>
          <w:trHeight w:val="258"/>
        </w:trPr>
        <w:tc>
          <w:tcPr>
            <w:tcW w:w="4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F14B9" w14:textId="77777777" w:rsidR="00146585" w:rsidRPr="00146585" w:rsidRDefault="00146585" w:rsidP="008B38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Incorrect Products Delivered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AF59F" w14:textId="77777777" w:rsidR="00146585" w:rsidRPr="00146585" w:rsidRDefault="00146585" w:rsidP="008B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9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D8445" w14:textId="77777777" w:rsidR="00146585" w:rsidRPr="00146585" w:rsidRDefault="00146585" w:rsidP="008B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08080" w:themeColor="background1" w:themeShade="80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b/>
                <w:bCs/>
                <w:color w:val="808080" w:themeColor="background1" w:themeShade="80"/>
                <w:lang w:eastAsia="en-ZA"/>
              </w:rPr>
              <w:t>29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804B1" w14:textId="77777777" w:rsidR="00146585" w:rsidRPr="00146585" w:rsidRDefault="00146585" w:rsidP="008B3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68,97%</w:t>
            </w:r>
          </w:p>
        </w:tc>
      </w:tr>
    </w:tbl>
    <w:p w14:paraId="424BB7B9" w14:textId="78C83207" w:rsidR="008B3882" w:rsidRDefault="008B3882" w:rsidP="008B3882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The above graph indicates that the Damaged Product reason has increased by 79,59% from 2015 to 2016.</w:t>
      </w:r>
    </w:p>
    <w:p w14:paraId="4BAEEB0E" w14:textId="459218E0" w:rsidR="008B3882" w:rsidRPr="006B6C11" w:rsidRDefault="008B3882" w:rsidP="008B3882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Recommendation for Superstore would be to do product handling training with drivers and implement a penalty structure for drivers who deliver the most damaged goods. </w:t>
      </w:r>
    </w:p>
    <w:p w14:paraId="7AE3A2DA" w14:textId="77777777" w:rsidR="00C20370" w:rsidRPr="006B6C11" w:rsidRDefault="00C20370" w:rsidP="008B3882">
      <w:pPr>
        <w:tabs>
          <w:tab w:val="center" w:pos="1667"/>
        </w:tabs>
        <w:rPr>
          <w:color w:val="808080" w:themeColor="background1" w:themeShade="80"/>
        </w:rPr>
      </w:pPr>
    </w:p>
    <w:p w14:paraId="3662A3F2" w14:textId="4D11B6E2" w:rsidR="008120F7" w:rsidRPr="00C20370" w:rsidRDefault="008B3882" w:rsidP="008B3882">
      <w:pPr>
        <w:pStyle w:val="ListParagraph"/>
        <w:numPr>
          <w:ilvl w:val="0"/>
          <w:numId w:val="3"/>
        </w:numPr>
        <w:rPr>
          <w:b/>
          <w:color w:val="0D0D0D" w:themeColor="text1" w:themeTint="F2"/>
        </w:rPr>
      </w:pPr>
      <w:r w:rsidRPr="00C20370">
        <w:rPr>
          <w:b/>
          <w:color w:val="0D0D0D" w:themeColor="text1" w:themeTint="F2"/>
        </w:rPr>
        <w:t>What is the % increase in products returned due to damage from 2015 to 2016?</w:t>
      </w:r>
    </w:p>
    <w:tbl>
      <w:tblPr>
        <w:tblpPr w:leftFromText="180" w:rightFromText="180" w:vertAnchor="text" w:tblpY="1"/>
        <w:tblOverlap w:val="never"/>
        <w:tblW w:w="7520" w:type="dxa"/>
        <w:tblLook w:val="04A0" w:firstRow="1" w:lastRow="0" w:firstColumn="1" w:lastColumn="0" w:noHBand="0" w:noVBand="1"/>
      </w:tblPr>
      <w:tblGrid>
        <w:gridCol w:w="4320"/>
        <w:gridCol w:w="914"/>
        <w:gridCol w:w="914"/>
        <w:gridCol w:w="1372"/>
      </w:tblGrid>
      <w:tr w:rsidR="00724F07" w:rsidRPr="00146585" w14:paraId="4997AE52" w14:textId="77777777" w:rsidTr="00F90125">
        <w:trPr>
          <w:trHeight w:val="288"/>
        </w:trPr>
        <w:tc>
          <w:tcPr>
            <w:tcW w:w="75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center"/>
            <w:hideMark/>
          </w:tcPr>
          <w:p w14:paraId="49046B5D" w14:textId="77777777" w:rsidR="00724F07" w:rsidRPr="00146585" w:rsidRDefault="00724F07" w:rsidP="00BE2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ZA"/>
              </w:rPr>
              <w:t>Reasons for Returns</w:t>
            </w:r>
          </w:p>
        </w:tc>
      </w:tr>
      <w:tr w:rsidR="00724F07" w:rsidRPr="00146585" w14:paraId="19B46E06" w14:textId="77777777" w:rsidTr="004C7715">
        <w:trPr>
          <w:trHeight w:val="24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noWrap/>
            <w:vAlign w:val="center"/>
            <w:hideMark/>
          </w:tcPr>
          <w:p w14:paraId="5B0749F7" w14:textId="77777777" w:rsidR="00724F07" w:rsidRPr="00146585" w:rsidRDefault="00724F07" w:rsidP="00BE2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n-ZA"/>
              </w:rPr>
            </w:pPr>
            <w:r w:rsidRPr="004C7715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n-ZA"/>
              </w:rPr>
              <w:t xml:space="preserve"> </w:t>
            </w:r>
            <w:r w:rsidRPr="00146585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n-ZA"/>
              </w:rPr>
              <w:t>Returns per Customer Each Year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noWrap/>
            <w:vAlign w:val="center"/>
            <w:hideMark/>
          </w:tcPr>
          <w:p w14:paraId="41AD8230" w14:textId="77777777" w:rsidR="00724F07" w:rsidRPr="00146585" w:rsidRDefault="00724F07" w:rsidP="00BE2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n-ZA"/>
              </w:rPr>
              <w:t>2015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noWrap/>
            <w:vAlign w:val="center"/>
            <w:hideMark/>
          </w:tcPr>
          <w:p w14:paraId="38685623" w14:textId="77777777" w:rsidR="00724F07" w:rsidRPr="00146585" w:rsidRDefault="00724F07" w:rsidP="00BE2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n-ZA"/>
              </w:rPr>
              <w:t>2016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noWrap/>
            <w:vAlign w:val="center"/>
            <w:hideMark/>
          </w:tcPr>
          <w:p w14:paraId="15BD495F" w14:textId="3236D337" w:rsidR="00724F07" w:rsidRPr="00146585" w:rsidRDefault="00724F07" w:rsidP="00BE2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n-ZA"/>
              </w:rPr>
              <w:t xml:space="preserve">Increase by </w:t>
            </w:r>
          </w:p>
        </w:tc>
      </w:tr>
      <w:tr w:rsidR="00724F07" w:rsidRPr="00146585" w14:paraId="2325C0EE" w14:textId="77777777" w:rsidTr="00F90125">
        <w:trPr>
          <w:trHeight w:val="24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D8B9C" w14:textId="1B517289" w:rsidR="00724F07" w:rsidRPr="00146585" w:rsidRDefault="00724F07" w:rsidP="00BE2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Product Damaged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1B8AF" w14:textId="74ED94F9" w:rsidR="00724F07" w:rsidRPr="00146585" w:rsidRDefault="00724F07" w:rsidP="00BE2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709AF" w14:textId="59790DB1" w:rsidR="00724F07" w:rsidRPr="00146585" w:rsidRDefault="00724F07" w:rsidP="00BE2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49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B5EEF" w14:textId="140F153F" w:rsidR="00724F07" w:rsidRPr="00146585" w:rsidRDefault="00724F07" w:rsidP="00BE2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  <w:r w:rsidRPr="00146585"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  <w:t>79,59%</w:t>
            </w:r>
          </w:p>
        </w:tc>
      </w:tr>
      <w:tr w:rsidR="00F90125" w:rsidRPr="00146585" w14:paraId="348A81ED" w14:textId="77777777" w:rsidTr="00F90125">
        <w:trPr>
          <w:trHeight w:val="24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673696" w14:textId="1EA3B26F" w:rsidR="00F90125" w:rsidRPr="00146585" w:rsidRDefault="00F90125" w:rsidP="00BE2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6074F" w14:textId="46542CE7" w:rsidR="00F90125" w:rsidRPr="00146585" w:rsidRDefault="00F90125" w:rsidP="00BE2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3546A" w14:textId="6E1F6AE1" w:rsidR="00F90125" w:rsidRPr="00146585" w:rsidRDefault="00F90125" w:rsidP="00BE2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A43DE" w14:textId="260021DA" w:rsidR="00F90125" w:rsidRPr="00146585" w:rsidRDefault="00F90125" w:rsidP="00BE2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</w:p>
        </w:tc>
      </w:tr>
      <w:tr w:rsidR="00F90125" w:rsidRPr="00146585" w14:paraId="40B8BF91" w14:textId="77777777" w:rsidTr="00F90125">
        <w:trPr>
          <w:trHeight w:val="24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738B0" w14:textId="674DAA31" w:rsidR="00F90125" w:rsidRPr="00146585" w:rsidRDefault="00F90125" w:rsidP="00BE2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69EBD" w14:textId="61030A98" w:rsidR="00F90125" w:rsidRPr="00146585" w:rsidRDefault="00F90125" w:rsidP="00BE2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749A97" w14:textId="5C9526EC" w:rsidR="00F90125" w:rsidRPr="00146585" w:rsidRDefault="00F90125" w:rsidP="00BE2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B7C35" w14:textId="1D478A66" w:rsidR="00F90125" w:rsidRPr="00146585" w:rsidRDefault="00F90125" w:rsidP="00BE2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 w:themeColor="background1" w:themeShade="80"/>
                <w:sz w:val="24"/>
                <w:szCs w:val="24"/>
                <w:lang w:eastAsia="en-ZA"/>
              </w:rPr>
            </w:pPr>
          </w:p>
        </w:tc>
      </w:tr>
    </w:tbl>
    <w:p w14:paraId="3BA1E261" w14:textId="473FEFBB" w:rsidR="00724F07" w:rsidRDefault="00724F07" w:rsidP="008B3882">
      <w:pPr>
        <w:rPr>
          <w:color w:val="808080" w:themeColor="background1" w:themeShade="80"/>
        </w:rPr>
      </w:pPr>
    </w:p>
    <w:p w14:paraId="5515AF8F" w14:textId="77777777" w:rsidR="00724F07" w:rsidRPr="00724F07" w:rsidRDefault="00724F07" w:rsidP="00724F07"/>
    <w:p w14:paraId="718FDB75" w14:textId="77777777" w:rsidR="00724F07" w:rsidRPr="00724F07" w:rsidRDefault="00724F07" w:rsidP="00724F07"/>
    <w:p w14:paraId="3D56F770" w14:textId="77777777" w:rsidR="00724F07" w:rsidRPr="00724F07" w:rsidRDefault="00724F07" w:rsidP="00724F07"/>
    <w:p w14:paraId="0F3DD98A" w14:textId="58F3D1D9" w:rsidR="00724F07" w:rsidRPr="00C20370" w:rsidRDefault="00724F07" w:rsidP="00724F07">
      <w:pPr>
        <w:pStyle w:val="ListParagraph"/>
        <w:numPr>
          <w:ilvl w:val="0"/>
          <w:numId w:val="3"/>
        </w:numPr>
        <w:rPr>
          <w:b/>
          <w:color w:val="0D0D0D" w:themeColor="text1" w:themeTint="F2"/>
        </w:rPr>
      </w:pPr>
      <w:r w:rsidRPr="00C20370">
        <w:rPr>
          <w:b/>
          <w:color w:val="0D0D0D" w:themeColor="text1" w:themeTint="F2"/>
        </w:rPr>
        <w:t>Why do you think there is suddenly a much larger number of returns in 2016 in comparison to previous years? Is this expected?</w:t>
      </w:r>
    </w:p>
    <w:p w14:paraId="7A2F6A0B" w14:textId="41720039" w:rsidR="00F90125" w:rsidRDefault="00724F07" w:rsidP="00724F0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An increase in returns is expected, as sales increased over the 2015 to 2016 period</w:t>
      </w:r>
      <w:r w:rsidR="00F90125">
        <w:rPr>
          <w:color w:val="808080" w:themeColor="background1" w:themeShade="80"/>
        </w:rPr>
        <w:t>. As market share increase, so does operational issues arising from gaining the market share.</w:t>
      </w:r>
    </w:p>
    <w:p w14:paraId="4D7F5F27" w14:textId="77777777" w:rsidR="00C20370" w:rsidRDefault="00C20370" w:rsidP="00724F07">
      <w:pPr>
        <w:rPr>
          <w:color w:val="808080" w:themeColor="background1" w:themeShade="80"/>
        </w:rPr>
      </w:pPr>
    </w:p>
    <w:p w14:paraId="1EBB69FD" w14:textId="36041290" w:rsidR="00F90125" w:rsidRDefault="0024410C" w:rsidP="00F90125">
      <w:pPr>
        <w:pStyle w:val="ListParagraph"/>
        <w:numPr>
          <w:ilvl w:val="0"/>
          <w:numId w:val="3"/>
        </w:numPr>
        <w:rPr>
          <w:b/>
          <w:color w:val="0D0D0D" w:themeColor="text1" w:themeTint="F2"/>
        </w:rPr>
      </w:pPr>
      <w:r w:rsidRPr="0024410C">
        <w:rPr>
          <w:b/>
          <w:color w:val="0D0D0D" w:themeColor="text1" w:themeTint="F2"/>
        </w:rPr>
        <w:t>Give recommendations to the company based on the report, your answers to these questions and anything else relevant you have found.</w:t>
      </w:r>
    </w:p>
    <w:p w14:paraId="4FDDFDC5" w14:textId="50B5B206" w:rsidR="0024410C" w:rsidRDefault="0024410C" w:rsidP="0024410C">
      <w:pPr>
        <w:rPr>
          <w:b/>
          <w:color w:val="0D0D0D" w:themeColor="text1" w:themeTint="F2"/>
        </w:rPr>
      </w:pPr>
    </w:p>
    <w:p w14:paraId="4F9D8853" w14:textId="58F5B739" w:rsidR="00C01888" w:rsidRDefault="0092584C" w:rsidP="0024410C">
      <w:pPr>
        <w:rPr>
          <w:b/>
          <w:color w:val="808080" w:themeColor="background1" w:themeShade="80"/>
        </w:rPr>
      </w:pPr>
      <w:r w:rsidRPr="004811DB">
        <w:rPr>
          <w:b/>
          <w:color w:val="808080" w:themeColor="background1" w:themeShade="80"/>
        </w:rPr>
        <w:t xml:space="preserve">Superstore has shown tremendous sales growth </w:t>
      </w:r>
      <w:r w:rsidR="004811DB" w:rsidRPr="004811DB">
        <w:rPr>
          <w:b/>
          <w:color w:val="808080" w:themeColor="background1" w:themeShade="80"/>
        </w:rPr>
        <w:t xml:space="preserve">from periods 2013 to 2016. With </w:t>
      </w:r>
      <w:r w:rsidR="00D20B17">
        <w:rPr>
          <w:b/>
          <w:color w:val="808080" w:themeColor="background1" w:themeShade="80"/>
        </w:rPr>
        <w:t>an average profit growth rate of 24,39%. Superstores greatest sales growth has occurred over the</w:t>
      </w:r>
      <w:r w:rsidR="00787FF6">
        <w:rPr>
          <w:b/>
          <w:color w:val="808080" w:themeColor="background1" w:themeShade="80"/>
        </w:rPr>
        <w:t xml:space="preserve"> 2015-2016 period. Superstore has concentrated on aggressive growth in new markets and this is evident in the Technology category. Technology now accounts for more than 50% of the company’s revenues</w:t>
      </w:r>
      <w:r w:rsidR="00141F8E">
        <w:rPr>
          <w:b/>
          <w:color w:val="808080" w:themeColor="background1" w:themeShade="80"/>
        </w:rPr>
        <w:t>, this is Superstores single biggest threat</w:t>
      </w:r>
      <w:r w:rsidR="00787FF6">
        <w:rPr>
          <w:b/>
          <w:color w:val="808080" w:themeColor="background1" w:themeShade="80"/>
        </w:rPr>
        <w:t xml:space="preserve">. </w:t>
      </w:r>
      <w:r w:rsidR="00141F8E">
        <w:rPr>
          <w:b/>
          <w:color w:val="808080" w:themeColor="background1" w:themeShade="80"/>
        </w:rPr>
        <w:t>We recommend an almost equal split in revenues from the three main segments of the business. T</w:t>
      </w:r>
      <w:r w:rsidR="00C01888">
        <w:rPr>
          <w:b/>
          <w:color w:val="808080" w:themeColor="background1" w:themeShade="80"/>
        </w:rPr>
        <w:t>he Furniture category</w:t>
      </w:r>
      <w:r w:rsidR="00141F8E">
        <w:rPr>
          <w:b/>
          <w:color w:val="808080" w:themeColor="background1" w:themeShade="80"/>
        </w:rPr>
        <w:t xml:space="preserve"> has </w:t>
      </w:r>
      <w:r w:rsidR="00C01888">
        <w:rPr>
          <w:b/>
          <w:color w:val="808080" w:themeColor="background1" w:themeShade="80"/>
        </w:rPr>
        <w:t>perform</w:t>
      </w:r>
      <w:r w:rsidR="00141F8E">
        <w:rPr>
          <w:b/>
          <w:color w:val="808080" w:themeColor="background1" w:themeShade="80"/>
        </w:rPr>
        <w:t>ed</w:t>
      </w:r>
      <w:r w:rsidR="00C01888">
        <w:rPr>
          <w:b/>
          <w:color w:val="808080" w:themeColor="background1" w:themeShade="80"/>
        </w:rPr>
        <w:t xml:space="preserve"> the worst year on year. </w:t>
      </w:r>
    </w:p>
    <w:p w14:paraId="498FDFFA" w14:textId="6582DF65" w:rsidR="00C01888" w:rsidRDefault="00C01888" w:rsidP="0024410C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 xml:space="preserve">We found that the worst performing states have the highest number of items purchased </w:t>
      </w:r>
      <w:r w:rsidR="00141F8E">
        <w:rPr>
          <w:b/>
          <w:color w:val="808080" w:themeColor="background1" w:themeShade="80"/>
        </w:rPr>
        <w:t>of</w:t>
      </w:r>
      <w:r>
        <w:rPr>
          <w:b/>
          <w:color w:val="808080" w:themeColor="background1" w:themeShade="80"/>
        </w:rPr>
        <w:t xml:space="preserve"> the worst performing products. This is a great opportunity for Superstore</w:t>
      </w:r>
      <w:r w:rsidR="00141F8E">
        <w:rPr>
          <w:b/>
          <w:color w:val="808080" w:themeColor="background1" w:themeShade="80"/>
        </w:rPr>
        <w:t>, renewed focus on this client base and implementation of a turnaround strategy for the furniture category will reap new profits.</w:t>
      </w:r>
      <w:r>
        <w:rPr>
          <w:b/>
          <w:color w:val="808080" w:themeColor="background1" w:themeShade="80"/>
        </w:rPr>
        <w:t xml:space="preserve"> </w:t>
      </w:r>
    </w:p>
    <w:p w14:paraId="5A2C58ED" w14:textId="2A5C0E80" w:rsidR="00141F8E" w:rsidRDefault="00141F8E" w:rsidP="0024410C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A very normal occurrence in the growth of any business and especially when there is a spike in sales and market share is gained through aggressive penetration, we find operational efficiency diminishing. This is evident</w:t>
      </w:r>
      <w:r w:rsidR="00453167">
        <w:rPr>
          <w:b/>
          <w:color w:val="808080" w:themeColor="background1" w:themeShade="80"/>
        </w:rPr>
        <w:t xml:space="preserve"> in the increase in delivery issues and increasing returns.</w:t>
      </w:r>
    </w:p>
    <w:p w14:paraId="28A51294" w14:textId="54FD7885" w:rsidR="00453167" w:rsidRDefault="00453167" w:rsidP="0024410C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We strongly recommend a two-pronged approach. Increased product handling training with delivery drivers and implementing a demerit system for bad deliveries. Superstore should also do a cost analysis on the software implementation for a package tracking system &amp; more importantly evaluate if the delivery process should not be outsourced to a third party and Superstore receives profit share on each delivery.</w:t>
      </w:r>
    </w:p>
    <w:p w14:paraId="64527F0D" w14:textId="07CF0086" w:rsidR="00453167" w:rsidRDefault="00453167" w:rsidP="0024410C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The DATA LIONS team would like to thank Superstore for choosing us as a preferred supplier</w:t>
      </w:r>
      <w:r w:rsidR="001F0999">
        <w:rPr>
          <w:b/>
          <w:color w:val="808080" w:themeColor="background1" w:themeShade="80"/>
        </w:rPr>
        <w:t>. We look forward to gaining a deeper analytical understanding of your business and more importantly, your success.</w:t>
      </w:r>
    </w:p>
    <w:p w14:paraId="11921F1F" w14:textId="77777777" w:rsidR="00453167" w:rsidRPr="004811DB" w:rsidRDefault="00453167" w:rsidP="0024410C">
      <w:pPr>
        <w:rPr>
          <w:b/>
          <w:color w:val="808080" w:themeColor="background1" w:themeShade="80"/>
        </w:rPr>
      </w:pPr>
    </w:p>
    <w:p w14:paraId="53F5D4A2" w14:textId="28222855" w:rsidR="00724F07" w:rsidRPr="00724F07" w:rsidRDefault="00F90125" w:rsidP="00724F0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</w:t>
      </w:r>
    </w:p>
    <w:p w14:paraId="2709E601" w14:textId="77777777" w:rsidR="008B3882" w:rsidRPr="00724F07" w:rsidRDefault="008B3882" w:rsidP="00724F07"/>
    <w:sectPr w:rsidR="008B3882" w:rsidRPr="00724F07" w:rsidSect="001F0999">
      <w:footerReference w:type="default" r:id="rId12"/>
      <w:pgSz w:w="11906" w:h="16838"/>
      <w:pgMar w:top="426" w:right="566" w:bottom="284" w:left="70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CB9DD" w14:textId="77777777" w:rsidR="00695AD8" w:rsidRDefault="00695AD8" w:rsidP="001F0999">
      <w:pPr>
        <w:spacing w:after="0" w:line="240" w:lineRule="auto"/>
      </w:pPr>
      <w:r>
        <w:separator/>
      </w:r>
    </w:p>
  </w:endnote>
  <w:endnote w:type="continuationSeparator" w:id="0">
    <w:p w14:paraId="7CC3C9CE" w14:textId="77777777" w:rsidR="00695AD8" w:rsidRDefault="00695AD8" w:rsidP="001F0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BA81D" w14:textId="36927157" w:rsidR="001F0999" w:rsidRDefault="001F0999" w:rsidP="001F0999">
    <w:pPr>
      <w:pStyle w:val="Footer"/>
      <w:jc w:val="right"/>
      <w:rPr>
        <w:rFonts w:ascii="Arial" w:hAnsi="Arial" w:cs="Arial"/>
        <w:b/>
        <w:color w:val="A6A6A6" w:themeColor="background1" w:themeShade="A6"/>
        <w:sz w:val="16"/>
        <w:lang w:val="en-US"/>
      </w:rPr>
    </w:pPr>
    <w:r w:rsidRPr="001F0999">
      <w:rPr>
        <w:rFonts w:ascii="Arial" w:hAnsi="Arial" w:cs="Arial"/>
        <w:b/>
        <w:color w:val="A6A6A6" w:themeColor="background1" w:themeShade="A6"/>
        <w:sz w:val="16"/>
        <w:lang w:val="en-US"/>
      </w:rPr>
      <w:t>DATA LIONS</w:t>
    </w:r>
  </w:p>
  <w:p w14:paraId="2B12EA9A" w14:textId="77777777" w:rsidR="001F0999" w:rsidRPr="001F0999" w:rsidRDefault="001F0999" w:rsidP="001F0999">
    <w:pPr>
      <w:pStyle w:val="Footer"/>
      <w:jc w:val="center"/>
      <w:rPr>
        <w:rFonts w:ascii="Arial" w:hAnsi="Arial" w:cs="Arial"/>
        <w:b/>
        <w:color w:val="A6A6A6" w:themeColor="background1" w:themeShade="A6"/>
        <w:sz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EBA6C" w14:textId="77777777" w:rsidR="00695AD8" w:rsidRDefault="00695AD8" w:rsidP="001F0999">
      <w:pPr>
        <w:spacing w:after="0" w:line="240" w:lineRule="auto"/>
      </w:pPr>
      <w:r>
        <w:separator/>
      </w:r>
    </w:p>
  </w:footnote>
  <w:footnote w:type="continuationSeparator" w:id="0">
    <w:p w14:paraId="0E853D0E" w14:textId="77777777" w:rsidR="00695AD8" w:rsidRDefault="00695AD8" w:rsidP="001F0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825"/>
    <w:multiLevelType w:val="hybridMultilevel"/>
    <w:tmpl w:val="F8F4693C"/>
    <w:lvl w:ilvl="0" w:tplc="1C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A422A"/>
    <w:multiLevelType w:val="hybridMultilevel"/>
    <w:tmpl w:val="5E80BC9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CE30A5"/>
    <w:multiLevelType w:val="hybridMultilevel"/>
    <w:tmpl w:val="AE244FF6"/>
    <w:lvl w:ilvl="0" w:tplc="1C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D85891"/>
    <w:multiLevelType w:val="hybridMultilevel"/>
    <w:tmpl w:val="B8A2B35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D2"/>
    <w:rsid w:val="00123E0C"/>
    <w:rsid w:val="00141F8E"/>
    <w:rsid w:val="00146585"/>
    <w:rsid w:val="001E018E"/>
    <w:rsid w:val="001F0999"/>
    <w:rsid w:val="00205C9B"/>
    <w:rsid w:val="0024410C"/>
    <w:rsid w:val="00257169"/>
    <w:rsid w:val="002A2C03"/>
    <w:rsid w:val="003B16D2"/>
    <w:rsid w:val="00440A7F"/>
    <w:rsid w:val="00442404"/>
    <w:rsid w:val="00453167"/>
    <w:rsid w:val="004567E2"/>
    <w:rsid w:val="004811DB"/>
    <w:rsid w:val="004C7715"/>
    <w:rsid w:val="004D33CD"/>
    <w:rsid w:val="004D425F"/>
    <w:rsid w:val="00552C2D"/>
    <w:rsid w:val="005C11A8"/>
    <w:rsid w:val="0066006D"/>
    <w:rsid w:val="00695AD8"/>
    <w:rsid w:val="006B6C11"/>
    <w:rsid w:val="00724F07"/>
    <w:rsid w:val="00773250"/>
    <w:rsid w:val="00787FF6"/>
    <w:rsid w:val="007F397B"/>
    <w:rsid w:val="007F4F9B"/>
    <w:rsid w:val="008120F7"/>
    <w:rsid w:val="00883496"/>
    <w:rsid w:val="008B3882"/>
    <w:rsid w:val="008F6A37"/>
    <w:rsid w:val="0092584C"/>
    <w:rsid w:val="00930A6F"/>
    <w:rsid w:val="00960010"/>
    <w:rsid w:val="009B313C"/>
    <w:rsid w:val="00A0123C"/>
    <w:rsid w:val="00A171F0"/>
    <w:rsid w:val="00A435D7"/>
    <w:rsid w:val="00A77FD3"/>
    <w:rsid w:val="00AA55D0"/>
    <w:rsid w:val="00AC61DB"/>
    <w:rsid w:val="00AE2637"/>
    <w:rsid w:val="00BE223A"/>
    <w:rsid w:val="00C01888"/>
    <w:rsid w:val="00C20370"/>
    <w:rsid w:val="00C300F5"/>
    <w:rsid w:val="00C56E1B"/>
    <w:rsid w:val="00C814B7"/>
    <w:rsid w:val="00CE0D29"/>
    <w:rsid w:val="00D20B17"/>
    <w:rsid w:val="00D233D9"/>
    <w:rsid w:val="00D414A2"/>
    <w:rsid w:val="00D5270D"/>
    <w:rsid w:val="00D70A44"/>
    <w:rsid w:val="00D94483"/>
    <w:rsid w:val="00DC3364"/>
    <w:rsid w:val="00E01B2B"/>
    <w:rsid w:val="00E72C9E"/>
    <w:rsid w:val="00EB310A"/>
    <w:rsid w:val="00F046CF"/>
    <w:rsid w:val="00F06313"/>
    <w:rsid w:val="00F4743A"/>
    <w:rsid w:val="00F71062"/>
    <w:rsid w:val="00F90125"/>
    <w:rsid w:val="00FF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1009E5"/>
  <w15:chartTrackingRefBased/>
  <w15:docId w15:val="{C33B9081-B1C0-4309-8B40-2AF6112C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4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999"/>
  </w:style>
  <w:style w:type="paragraph" w:styleId="Footer">
    <w:name w:val="footer"/>
    <w:basedOn w:val="Normal"/>
    <w:link w:val="FooterChar"/>
    <w:uiPriority w:val="99"/>
    <w:unhideWhenUsed/>
    <w:rsid w:val="001F0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edict_data_with_DAshboar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edict_data_with_DAshboar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edict_data_with_DAshboar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edict_data_with_DAshboard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1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edict_data_with_DAshboar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[Predict_data_with_DAshboard.xlsx]Sheet1!PivotTable1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Sheet1!$D$5</c:f>
              <c:strCache>
                <c:ptCount val="1"/>
                <c:pt idx="0">
                  <c:v>Sum of Sales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Sheet1!$C$6:$C$10</c:f>
              <c:strCach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strCache>
            </c:strRef>
          </c:cat>
          <c:val>
            <c:numRef>
              <c:f>Sheet1!$D$6:$D$10</c:f>
              <c:numCache>
                <c:formatCode>[$$-409]#,##0.00</c:formatCode>
                <c:ptCount val="4"/>
                <c:pt idx="0">
                  <c:v>484247.4981000023</c:v>
                </c:pt>
                <c:pt idx="1">
                  <c:v>470532.50900000177</c:v>
                </c:pt>
                <c:pt idx="2">
                  <c:v>608473.83000000264</c:v>
                </c:pt>
                <c:pt idx="3">
                  <c:v>733947.02320000029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DD-4ADE-A555-AFA39C46F449}"/>
            </c:ext>
          </c:extLst>
        </c:ser>
        <c:ser>
          <c:idx val="1"/>
          <c:order val="1"/>
          <c:tx>
            <c:strRef>
              <c:f>Sheet1!$E$5</c:f>
              <c:strCache>
                <c:ptCount val="1"/>
                <c:pt idx="0">
                  <c:v>Sum of Profit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Sheet1!$C$6:$C$10</c:f>
              <c:strCach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strCache>
            </c:strRef>
          </c:cat>
          <c:val>
            <c:numRef>
              <c:f>Sheet1!$E$6:$E$10</c:f>
              <c:numCache>
                <c:formatCode>[$$-409]#,##0.00</c:formatCode>
                <c:ptCount val="4"/>
                <c:pt idx="0">
                  <c:v>49543.974099999963</c:v>
                </c:pt>
                <c:pt idx="1">
                  <c:v>61618.603699999716</c:v>
                </c:pt>
                <c:pt idx="2">
                  <c:v>81726.9307999999</c:v>
                </c:pt>
                <c:pt idx="3">
                  <c:v>93507.513100000288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DD-4ADE-A555-AFA39C46F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1066872"/>
        <c:axId val="521069112"/>
      </c:lineChart>
      <c:catAx>
        <c:axId val="5210668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069112"/>
        <c:crosses val="autoZero"/>
        <c:auto val="1"/>
        <c:lblAlgn val="ctr"/>
        <c:lblOffset val="100"/>
        <c:noMultiLvlLbl val="0"/>
      </c:catAx>
      <c:valAx>
        <c:axId val="521069112"/>
        <c:scaling>
          <c:orientation val="minMax"/>
        </c:scaling>
        <c:delete val="1"/>
        <c:axPos val="l"/>
        <c:numFmt formatCode="[$$-409]#,##0.00" sourceLinked="1"/>
        <c:majorTickMark val="out"/>
        <c:minorTickMark val="none"/>
        <c:tickLblPos val="nextTo"/>
        <c:crossAx val="521066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[Predict_data_with_DAshboard.xlsx]Sheet1!PivotTable7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Sheet1!$P$29:$P$30</c:f>
              <c:strCache>
                <c:ptCount val="1"/>
                <c:pt idx="0">
                  <c:v>Technology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Sheet1!$O$31:$O$35</c:f>
              <c:strCach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strCache>
            </c:strRef>
          </c:cat>
          <c:val>
            <c:numRef>
              <c:f>Sheet1!$P$31:$P$35</c:f>
              <c:numCache>
                <c:formatCode>[$$-409]#,##0.00</c:formatCode>
                <c:ptCount val="4"/>
                <c:pt idx="0">
                  <c:v>21492.832499999968</c:v>
                </c:pt>
                <c:pt idx="1">
                  <c:v>33503.866999999984</c:v>
                </c:pt>
                <c:pt idx="2">
                  <c:v>39751.313800000004</c:v>
                </c:pt>
                <c:pt idx="3">
                  <c:v>50706.934799999959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69-4927-A7D0-908B24C6A94E}"/>
            </c:ext>
          </c:extLst>
        </c:ser>
        <c:ser>
          <c:idx val="1"/>
          <c:order val="1"/>
          <c:tx>
            <c:strRef>
              <c:f>Sheet1!$Q$29:$Q$30</c:f>
              <c:strCache>
                <c:ptCount val="1"/>
                <c:pt idx="0">
                  <c:v>Office Supplies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Sheet1!$O$31:$O$35</c:f>
              <c:strCach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strCache>
            </c:strRef>
          </c:cat>
          <c:val>
            <c:numRef>
              <c:f>Sheet1!$Q$31:$Q$35</c:f>
              <c:numCache>
                <c:formatCode>[$$-409]#,##0.00</c:formatCode>
                <c:ptCount val="4"/>
                <c:pt idx="0">
                  <c:v>22593.416099999973</c:v>
                </c:pt>
                <c:pt idx="1">
                  <c:v>25099.533799999976</c:v>
                </c:pt>
                <c:pt idx="2">
                  <c:v>35015.663900000007</c:v>
                </c:pt>
                <c:pt idx="3">
                  <c:v>39782.186999999954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69-4927-A7D0-908B24C6A94E}"/>
            </c:ext>
          </c:extLst>
        </c:ser>
        <c:ser>
          <c:idx val="2"/>
          <c:order val="2"/>
          <c:tx>
            <c:strRef>
              <c:f>Sheet1!$R$29:$R$30</c:f>
              <c:strCache>
                <c:ptCount val="1"/>
                <c:pt idx="0">
                  <c:v>Furniture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Sheet1!$O$31:$O$35</c:f>
              <c:strCach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strCache>
            </c:strRef>
          </c:cat>
          <c:val>
            <c:numRef>
              <c:f>Sheet1!$R$31:$R$35</c:f>
              <c:numCache>
                <c:formatCode>[$$-409]#,##0.00</c:formatCode>
                <c:ptCount val="4"/>
                <c:pt idx="0">
                  <c:v>5457.7254999999905</c:v>
                </c:pt>
                <c:pt idx="1">
                  <c:v>3015.2028999999779</c:v>
                </c:pt>
                <c:pt idx="2">
                  <c:v>6959.9531000000106</c:v>
                </c:pt>
                <c:pt idx="3">
                  <c:v>3018.3913000000448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69-4927-A7D0-908B24C6A9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6788824"/>
        <c:axId val="506790136"/>
      </c:lineChart>
      <c:catAx>
        <c:axId val="506788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790136"/>
        <c:crosses val="autoZero"/>
        <c:auto val="1"/>
        <c:lblAlgn val="ctr"/>
        <c:lblOffset val="100"/>
        <c:noMultiLvlLbl val="0"/>
      </c:catAx>
      <c:valAx>
        <c:axId val="50679013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$-409]#,##0.00" sourceLinked="1"/>
        <c:majorTickMark val="none"/>
        <c:minorTickMark val="none"/>
        <c:tickLblPos val="nextTo"/>
        <c:crossAx val="506788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bg1">
                  <a:lumMod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[Predict_data_with_DAshboard.xlsx]Annual Trends!Segment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1">
                    <a:lumMod val="50000"/>
                  </a:schemeClr>
                </a:solidFill>
              </a:rPr>
              <a:t>Profit by Segment 2016</a:t>
            </a:r>
          </a:p>
        </c:rich>
      </c:tx>
      <c:layout>
        <c:manualLayout>
          <c:xMode val="edge"/>
          <c:yMode val="edge"/>
          <c:x val="0.22639566929133856"/>
          <c:y val="6.481481481481481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'Annual Trends'!$B$73:$B$74</c:f>
              <c:strCache>
                <c:ptCount val="1"/>
                <c:pt idx="0">
                  <c:v>2016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4DE-44AB-B1E9-33C6D752182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4DE-44AB-B1E9-33C6D752182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49C-4833-A6E7-5E0A846F009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'Annual Trends'!$A$75:$A$77</c:f>
              <c:strCache>
                <c:ptCount val="3"/>
                <c:pt idx="0">
                  <c:v>Consumer</c:v>
                </c:pt>
                <c:pt idx="1">
                  <c:v>Corporate</c:v>
                </c:pt>
                <c:pt idx="2">
                  <c:v>Home Office</c:v>
                </c:pt>
              </c:strCache>
            </c:strRef>
          </c:cat>
          <c:val>
            <c:numRef>
              <c:f>'Annual Trends'!$B$75:$B$77</c:f>
              <c:numCache>
                <c:formatCode>[$$-409]#,##0.00</c:formatCode>
                <c:ptCount val="3"/>
                <c:pt idx="0">
                  <c:v>45580.922899999998</c:v>
                </c:pt>
                <c:pt idx="1">
                  <c:v>26837.922999999988</c:v>
                </c:pt>
                <c:pt idx="2">
                  <c:v>21088.667200000004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4DE-44AB-B1E9-33C6D7521823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[Predict_data_with_DAshboard.xlsx]Annual Trends!Number of Returns Each Year</c:name>
    <c:fmtId val="-1"/>
  </c:pivotSource>
  <c:chart>
    <c:autoTitleDeleted val="1"/>
    <c:pivotFmts>
      <c:pivotFmt>
        <c:idx val="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circle"/>
          <c:size val="4"/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</c:marker>
      </c:pivotFmt>
      <c:pivotFmt>
        <c:idx val="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circle"/>
          <c:size val="4"/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</c:marker>
      </c:pivotFmt>
      <c:pivotFmt>
        <c:idx val="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circle"/>
          <c:size val="4"/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</c:marker>
      </c:pivotFmt>
      <c:pivotFmt>
        <c:idx val="3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circle"/>
          <c:size val="4"/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</c:marker>
      </c:pivotFmt>
      <c:pivotFmt>
        <c:idx val="4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5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6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7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8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9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2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2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23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24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25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26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  <c:pivotFmt>
        <c:idx val="27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41724303144751185"/>
          <c:y val="0.18376674262804302"/>
          <c:w val="0.5528561273432766"/>
          <c:h val="0.63301731352033697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'Annual Trends'!$B$12:$B$13</c:f>
              <c:strCache>
                <c:ptCount val="1"/>
                <c:pt idx="0">
                  <c:v>2013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'Annual Trends'!$A$14:$A$20</c:f>
              <c:strCache>
                <c:ptCount val="6"/>
                <c:pt idx="0">
                  <c:v>Incorrect Products Delivered</c:v>
                </c:pt>
                <c:pt idx="1">
                  <c:v>Product Ordered Accidently</c:v>
                </c:pt>
                <c:pt idx="2">
                  <c:v>Product Damaged</c:v>
                </c:pt>
                <c:pt idx="3">
                  <c:v>Product Arrived After Promised Delivery Date</c:v>
                </c:pt>
                <c:pt idx="4">
                  <c:v>Customer Dissatified With Product</c:v>
                </c:pt>
                <c:pt idx="5">
                  <c:v>Product Description Inaccurate</c:v>
                </c:pt>
              </c:strCache>
            </c:strRef>
          </c:cat>
          <c:val>
            <c:numRef>
              <c:f>'Annual Trends'!$B$14:$B$20</c:f>
              <c:numCache>
                <c:formatCode>General</c:formatCode>
                <c:ptCount val="6"/>
                <c:pt idx="0">
                  <c:v>20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36</c:v>
                </c:pt>
                <c:pt idx="5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FC-458A-840D-8E1F091F6EBA}"/>
            </c:ext>
          </c:extLst>
        </c:ser>
        <c:ser>
          <c:idx val="1"/>
          <c:order val="1"/>
          <c:tx>
            <c:strRef>
              <c:f>'Annual Trends'!$C$12:$C$13</c:f>
              <c:strCache>
                <c:ptCount val="1"/>
                <c:pt idx="0">
                  <c:v>2014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'Annual Trends'!$A$14:$A$20</c:f>
              <c:strCache>
                <c:ptCount val="6"/>
                <c:pt idx="0">
                  <c:v>Incorrect Products Delivered</c:v>
                </c:pt>
                <c:pt idx="1">
                  <c:v>Product Ordered Accidently</c:v>
                </c:pt>
                <c:pt idx="2">
                  <c:v>Product Damaged</c:v>
                </c:pt>
                <c:pt idx="3">
                  <c:v>Product Arrived After Promised Delivery Date</c:v>
                </c:pt>
                <c:pt idx="4">
                  <c:v>Customer Dissatified With Product</c:v>
                </c:pt>
                <c:pt idx="5">
                  <c:v>Product Description Inaccurate</c:v>
                </c:pt>
              </c:strCache>
            </c:strRef>
          </c:cat>
          <c:val>
            <c:numRef>
              <c:f>'Annual Trends'!$C$14:$C$20</c:f>
              <c:numCache>
                <c:formatCode>General</c:formatCode>
                <c:ptCount val="6"/>
                <c:pt idx="0">
                  <c:v>9</c:v>
                </c:pt>
                <c:pt idx="1">
                  <c:v>14</c:v>
                </c:pt>
                <c:pt idx="2">
                  <c:v>16</c:v>
                </c:pt>
                <c:pt idx="3">
                  <c:v>39</c:v>
                </c:pt>
                <c:pt idx="4">
                  <c:v>14</c:v>
                </c:pt>
                <c:pt idx="5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13FC-458A-840D-8E1F091F6EBA}"/>
            </c:ext>
          </c:extLst>
        </c:ser>
        <c:ser>
          <c:idx val="2"/>
          <c:order val="2"/>
          <c:tx>
            <c:strRef>
              <c:f>'Annual Trends'!$D$12:$D$13</c:f>
              <c:strCache>
                <c:ptCount val="1"/>
                <c:pt idx="0">
                  <c:v>2015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'Annual Trends'!$A$14:$A$20</c:f>
              <c:strCache>
                <c:ptCount val="6"/>
                <c:pt idx="0">
                  <c:v>Incorrect Products Delivered</c:v>
                </c:pt>
                <c:pt idx="1">
                  <c:v>Product Ordered Accidently</c:v>
                </c:pt>
                <c:pt idx="2">
                  <c:v>Product Damaged</c:v>
                </c:pt>
                <c:pt idx="3">
                  <c:v>Product Arrived After Promised Delivery Date</c:v>
                </c:pt>
                <c:pt idx="4">
                  <c:v>Customer Dissatified With Product</c:v>
                </c:pt>
                <c:pt idx="5">
                  <c:v>Product Description Inaccurate</c:v>
                </c:pt>
              </c:strCache>
            </c:strRef>
          </c:cat>
          <c:val>
            <c:numRef>
              <c:f>'Annual Trends'!$D$14:$D$20</c:f>
              <c:numCache>
                <c:formatCode>General</c:formatCode>
                <c:ptCount val="6"/>
                <c:pt idx="0">
                  <c:v>9</c:v>
                </c:pt>
                <c:pt idx="1">
                  <c:v>21</c:v>
                </c:pt>
                <c:pt idx="2">
                  <c:v>10</c:v>
                </c:pt>
                <c:pt idx="3">
                  <c:v>18</c:v>
                </c:pt>
                <c:pt idx="4">
                  <c:v>57</c:v>
                </c:pt>
                <c:pt idx="5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13FC-458A-840D-8E1F091F6EBA}"/>
            </c:ext>
          </c:extLst>
        </c:ser>
        <c:ser>
          <c:idx val="3"/>
          <c:order val="3"/>
          <c:tx>
            <c:strRef>
              <c:f>'Annual Trends'!$E$12:$E$13</c:f>
              <c:strCache>
                <c:ptCount val="1"/>
                <c:pt idx="0">
                  <c:v>2016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'Annual Trends'!$A$14:$A$20</c:f>
              <c:strCache>
                <c:ptCount val="6"/>
                <c:pt idx="0">
                  <c:v>Incorrect Products Delivered</c:v>
                </c:pt>
                <c:pt idx="1">
                  <c:v>Product Ordered Accidently</c:v>
                </c:pt>
                <c:pt idx="2">
                  <c:v>Product Damaged</c:v>
                </c:pt>
                <c:pt idx="3">
                  <c:v>Product Arrived After Promised Delivery Date</c:v>
                </c:pt>
                <c:pt idx="4">
                  <c:v>Customer Dissatified With Product</c:v>
                </c:pt>
                <c:pt idx="5">
                  <c:v>Product Description Inaccurate</c:v>
                </c:pt>
              </c:strCache>
            </c:strRef>
          </c:cat>
          <c:val>
            <c:numRef>
              <c:f>'Annual Trends'!$E$14:$E$20</c:f>
              <c:numCache>
                <c:formatCode>General</c:formatCode>
                <c:ptCount val="6"/>
                <c:pt idx="0">
                  <c:v>29</c:v>
                </c:pt>
                <c:pt idx="1">
                  <c:v>33</c:v>
                </c:pt>
                <c:pt idx="2">
                  <c:v>49</c:v>
                </c:pt>
                <c:pt idx="3">
                  <c:v>29</c:v>
                </c:pt>
                <c:pt idx="4">
                  <c:v>51</c:v>
                </c:pt>
                <c:pt idx="5">
                  <c:v>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13FC-458A-840D-8E1F091F6E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570406328"/>
        <c:axId val="570403768"/>
      </c:barChart>
      <c:catAx>
        <c:axId val="5704063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403768"/>
        <c:crosses val="autoZero"/>
        <c:auto val="1"/>
        <c:lblAlgn val="ctr"/>
        <c:lblOffset val="100"/>
        <c:noMultiLvlLbl val="0"/>
      </c:catAx>
      <c:valAx>
        <c:axId val="57040376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70406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v>Product Description Inaccurate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Lit>
              <c:ptCount val="4"/>
              <c:pt idx="0">
                <c:v>2013</c:v>
              </c:pt>
              <c:pt idx="1">
                <c:v>2014</c:v>
              </c:pt>
              <c:pt idx="2">
                <c:v>2015</c:v>
              </c:pt>
              <c:pt idx="3">
                <c:v>2016</c:v>
              </c:pt>
            </c:strLit>
          </c:cat>
          <c:val>
            <c:numLit>
              <c:formatCode>General</c:formatCode>
              <c:ptCount val="4"/>
              <c:pt idx="0">
                <c:v>53</c:v>
              </c:pt>
              <c:pt idx="1">
                <c:v>71</c:v>
              </c:pt>
              <c:pt idx="2">
                <c:v>82</c:v>
              </c:pt>
              <c:pt idx="3">
                <c:v>98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F2B0-4D69-B744-6AA707053A90}"/>
            </c:ext>
          </c:extLst>
        </c:ser>
        <c:ser>
          <c:idx val="1"/>
          <c:order val="1"/>
          <c:tx>
            <c:v>Customer Dissatified With Product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Lit>
              <c:ptCount val="4"/>
              <c:pt idx="0">
                <c:v>2013</c:v>
              </c:pt>
              <c:pt idx="1">
                <c:v>2014</c:v>
              </c:pt>
              <c:pt idx="2">
                <c:v>2015</c:v>
              </c:pt>
              <c:pt idx="3">
                <c:v>2016</c:v>
              </c:pt>
            </c:strLit>
          </c:cat>
          <c:val>
            <c:numLit>
              <c:formatCode>General</c:formatCode>
              <c:ptCount val="4"/>
              <c:pt idx="0">
                <c:v>36</c:v>
              </c:pt>
              <c:pt idx="1">
                <c:v>14</c:v>
              </c:pt>
              <c:pt idx="2">
                <c:v>57</c:v>
              </c:pt>
              <c:pt idx="3">
                <c:v>51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6-F2B0-4D69-B744-6AA707053A90}"/>
            </c:ext>
          </c:extLst>
        </c:ser>
        <c:ser>
          <c:idx val="2"/>
          <c:order val="2"/>
          <c:tx>
            <c:v>Product Arrived After Promised Delivery Date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4"/>
              <c:pt idx="0">
                <c:v>2013</c:v>
              </c:pt>
              <c:pt idx="1">
                <c:v>2014</c:v>
              </c:pt>
              <c:pt idx="2">
                <c:v>2015</c:v>
              </c:pt>
              <c:pt idx="3">
                <c:v>2016</c:v>
              </c:pt>
            </c:strLit>
          </c:cat>
          <c:val>
            <c:numLit>
              <c:formatCode>General</c:formatCode>
              <c:ptCount val="4"/>
              <c:pt idx="0">
                <c:v>14</c:v>
              </c:pt>
              <c:pt idx="1">
                <c:v>39</c:v>
              </c:pt>
              <c:pt idx="2">
                <c:v>18</c:v>
              </c:pt>
              <c:pt idx="3">
                <c:v>29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7-F2B0-4D69-B744-6AA707053A90}"/>
            </c:ext>
          </c:extLst>
        </c:ser>
        <c:ser>
          <c:idx val="3"/>
          <c:order val="3"/>
          <c:tx>
            <c:v>Product Damaged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Lit>
              <c:ptCount val="4"/>
              <c:pt idx="0">
                <c:v>2013</c:v>
              </c:pt>
              <c:pt idx="1">
                <c:v>2014</c:v>
              </c:pt>
              <c:pt idx="2">
                <c:v>2015</c:v>
              </c:pt>
              <c:pt idx="3">
                <c:v>2016</c:v>
              </c:pt>
            </c:strLit>
          </c:cat>
          <c:val>
            <c:numLit>
              <c:formatCode>General</c:formatCode>
              <c:ptCount val="4"/>
              <c:pt idx="0">
                <c:v>15</c:v>
              </c:pt>
              <c:pt idx="1">
                <c:v>16</c:v>
              </c:pt>
              <c:pt idx="2">
                <c:v>10</c:v>
              </c:pt>
              <c:pt idx="3">
                <c:v>49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8-F2B0-4D69-B744-6AA707053A90}"/>
            </c:ext>
          </c:extLst>
        </c:ser>
        <c:ser>
          <c:idx val="4"/>
          <c:order val="4"/>
          <c:tx>
            <c:v>Product Ordered Accidently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Lit>
              <c:ptCount val="4"/>
              <c:pt idx="0">
                <c:v>2013</c:v>
              </c:pt>
              <c:pt idx="1">
                <c:v>2014</c:v>
              </c:pt>
              <c:pt idx="2">
                <c:v>2015</c:v>
              </c:pt>
              <c:pt idx="3">
                <c:v>2016</c:v>
              </c:pt>
            </c:strLit>
          </c:cat>
          <c:val>
            <c:numLit>
              <c:formatCode>General</c:formatCode>
              <c:ptCount val="4"/>
              <c:pt idx="0">
                <c:v>13</c:v>
              </c:pt>
              <c:pt idx="1">
                <c:v>14</c:v>
              </c:pt>
              <c:pt idx="2">
                <c:v>21</c:v>
              </c:pt>
              <c:pt idx="3">
                <c:v>33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9-F2B0-4D69-B744-6AA707053A90}"/>
            </c:ext>
          </c:extLst>
        </c:ser>
        <c:ser>
          <c:idx val="5"/>
          <c:order val="5"/>
          <c:tx>
            <c:v>Incorrect Products Delivered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Lit>
              <c:ptCount val="4"/>
              <c:pt idx="0">
                <c:v>2013</c:v>
              </c:pt>
              <c:pt idx="1">
                <c:v>2014</c:v>
              </c:pt>
              <c:pt idx="2">
                <c:v>2015</c:v>
              </c:pt>
              <c:pt idx="3">
                <c:v>2016</c:v>
              </c:pt>
            </c:strLit>
          </c:cat>
          <c:val>
            <c:numLit>
              <c:formatCode>General</c:formatCode>
              <c:ptCount val="4"/>
              <c:pt idx="0">
                <c:v>20</c:v>
              </c:pt>
              <c:pt idx="1">
                <c:v>9</c:v>
              </c:pt>
              <c:pt idx="2">
                <c:v>9</c:v>
              </c:pt>
              <c:pt idx="3">
                <c:v>29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A-F2B0-4D69-B744-6AA707053A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4219632"/>
        <c:axId val="602297176"/>
      </c:lineChart>
      <c:catAx>
        <c:axId val="454219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297176"/>
        <c:crosses val="autoZero"/>
        <c:auto val="1"/>
        <c:lblAlgn val="ctr"/>
        <c:lblOffset val="100"/>
        <c:noMultiLvlLbl val="0"/>
      </c:catAx>
      <c:valAx>
        <c:axId val="6022971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54219632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0.38288</cdr:x>
      <cdr:y>0.05525</cdr:y>
    </cdr:from>
    <cdr:to>
      <cdr:x>0.75906</cdr:x>
      <cdr:y>0.12389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AEAFD21-4112-4BAB-8D55-6B72D56FF660}"/>
            </a:ext>
          </a:extLst>
        </cdr:cNvPr>
        <cdr:cNvSpPr txBox="1"/>
      </cdr:nvSpPr>
      <cdr:spPr>
        <a:xfrm xmlns:a="http://schemas.openxmlformats.org/drawingml/2006/main">
          <a:off x="2105106" y="153362"/>
          <a:ext cx="2068285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ZA" sz="1100"/>
        </a:p>
      </cdr:txBody>
    </cdr:sp>
  </cdr:relSizeAnchor>
  <cdr:relSizeAnchor xmlns:cdr="http://schemas.openxmlformats.org/drawingml/2006/chartDrawing">
    <cdr:from>
      <cdr:x>0.18078</cdr:x>
      <cdr:y>0.06433</cdr:y>
    </cdr:from>
    <cdr:to>
      <cdr:x>0.78557</cdr:x>
      <cdr:y>0.14475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269FAEB4-C477-4E14-98A6-7A4816DC327D}"/>
            </a:ext>
          </a:extLst>
        </cdr:cNvPr>
        <cdr:cNvSpPr txBox="1"/>
      </cdr:nvSpPr>
      <cdr:spPr>
        <a:xfrm xmlns:a="http://schemas.openxmlformats.org/drawingml/2006/main">
          <a:off x="1074966" y="217714"/>
          <a:ext cx="3596308" cy="27214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 anchor="ctr"/>
        <a:lstStyle xmlns:a="http://schemas.openxmlformats.org/drawingml/2006/main"/>
        <a:p xmlns:a="http://schemas.openxmlformats.org/drawingml/2006/main">
          <a:pPr algn="ctr"/>
          <a:r>
            <a:rPr lang="en-ZA" sz="1400" b="1">
              <a:solidFill>
                <a:schemeClr val="bg1">
                  <a:lumMod val="7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Reasons for Items Returned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student-cpt-343</dc:creator>
  <cp:keywords/>
  <dc:description/>
  <cp:lastModifiedBy>Jody Brian Herman</cp:lastModifiedBy>
  <cp:revision>2</cp:revision>
  <dcterms:created xsi:type="dcterms:W3CDTF">2019-02-16T02:03:00Z</dcterms:created>
  <dcterms:modified xsi:type="dcterms:W3CDTF">2019-02-16T02:03:00Z</dcterms:modified>
</cp:coreProperties>
</file>