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</w:pPr>
      <w:r>
        <w:rPr>
          <w:rFonts w:ascii="Arial" w:cs="Arial" w:eastAsia="Arial" w:hAnsi="Arial"/>
          <w:b/>
          <w:bCs/>
          <w:color w:val="B03A12"/>
          <w:sz w:val="20"/>
          <w:szCs w:val="20"/>
        </w:rPr>
        <w:t xml:space="preserve">AGENTIC EDUCATION &amp; BUSINESS PLATFORM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1A"/>
          <w:sz w:val="96"/>
          <w:szCs w:val="96"/>
        </w:rPr>
        <w:t xml:space="preserve">GlowAgent</w:t>
      </w:r>
    </w:p>
    <w:p>
      <w:pPr>
        <w:spacing w:after="480" w:before="0"/>
      </w:pPr>
      <w:r>
        <w:rPr>
          <w:rFonts w:ascii="Arial" w:cs="Arial" w:eastAsia="Arial" w:hAnsi="Arial"/>
          <w:b w:val="false"/>
          <w:bCs w:val="false"/>
          <w:color w:val="C87C1A"/>
          <w:sz w:val="48"/>
          <w:szCs w:val="48"/>
        </w:rPr>
        <w:t xml:space="preserve">Product Specification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An AI co-founder for African SMEs — one platform that teaches entrepreneurs while running their business operations simultaneously.</w:t>
      </w:r>
    </w:p>
    <w:p>
      <w:pPr>
        <w:spacing w:after="320" w:before="0"/>
      </w:pPr>
    </w:p>
    <w:p>
      <w:pPr>
        <w:pBdr>
          <w:top w:val="single" w:color="1A1A1A" w:sz="6"/>
        </w:pBdr>
        <w:spacing w:after="80" w:before="0"/>
      </w:pPr>
    </w:p>
    <w:p>
      <w:pPr>
        <w:spacing w:after="80" w:before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Sebulon David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AI SADC Regional Director  |  Glowdom Technologies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 1.0  |  March 2026  |  Confidential</w:t>
      </w:r>
    </w:p>
    <w:p>
      <w:r>
        <w:br w:type="page"/>
      </w:r>
    </w:p>
    <w:p>
      <w:pPr>
        <w:spacing w:after="160" w:before="0"/>
      </w:pPr>
    </w:p>
    <w:p>
      <w:pPr>
        <w:pBdr>
          <w:top w:val="single" w:color="1A1A1A" w:sz="8"/>
        </w:pBdr>
        <w:spacing w:after="0" w:before="480"/>
      </w:pPr>
      <w:r>
        <w:rPr>
          <w:rFonts w:ascii="Arial" w:cs="Arial" w:eastAsia="Arial" w:hAnsi="Arial"/>
          <w:b/>
          <w:bCs/>
          <w:color w:val="C87C1A"/>
          <w:sz w:val="48"/>
          <w:szCs w:val="48"/>
        </w:rPr>
        <w:t xml:space="preserve">01  </w:t>
      </w: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Vision &amp; Problem Statement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The Vision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GlowAgent is an agentic AI platform that acts as a co-founder for African SMEs — simultaneously teaching entrepreneurs the skills they need while executing business operations on their behalf. It is not a chatbot or a course platform. It is an autonomous AI system that plans, decides, and acts.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8A02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"Every African entrepreneur deserves a co-founder who never sleeps, never quits, and costs less than a mobile data plan."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The Problem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Four interconnected challenges face SADC SME founders today: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Skills Gap — Most founders lack formal business training. Traditional education is expensive, slow, and disconnected from real business needs.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Talent Affordability — SMEs cannot afford accountants, marketers, compliance officers, or business development staff. They operate blind.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 to Markets — Funding applications, proposals, and pitch decks remain barriers. Most SMEs never access capital they qualify for.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 Poverty — Entrepreneurs are operators first. They have no time for structured learning — education must happen inside their work.</w:t>
      </w:r>
    </w:p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The Insight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solution is not better courses or cheaper software. It is an agent that works and teaches simultaneously — embedded in the entrepreneur's actual context, using their real business as the learning medium.</w:t>
      </w:r>
    </w:p>
    <w:p>
      <w:r>
        <w:br w:type="page"/>
      </w:r>
    </w:p>
    <w:p>
      <w:pPr>
        <w:spacing w:after="160" w:before="0"/>
      </w:pPr>
    </w:p>
    <w:p>
      <w:pPr>
        <w:pBdr>
          <w:top w:val="single" w:color="1A1A1A" w:sz="8"/>
        </w:pBdr>
        <w:spacing w:after="0" w:before="480"/>
      </w:pPr>
      <w:r>
        <w:rPr>
          <w:rFonts w:ascii="Arial" w:cs="Arial" w:eastAsia="Arial" w:hAnsi="Arial"/>
          <w:b/>
          <w:bCs/>
          <w:color w:val="C87C1A"/>
          <w:sz w:val="48"/>
          <w:szCs w:val="48"/>
        </w:rPr>
        <w:t xml:space="preserve">02  </w:t>
      </w: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Target User Profile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Primary User — The SADC Founder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Who they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SME owner or entrepreneur in Namibia or South Africa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1–10 person operation, annual revenue under R2 million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Mobile-first, WhatsApp-native digital behaviour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Self-taught or informally educated in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Motivated, resourceful, and time-constrained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they need: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Business proposals written fast and professionally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Financial projections without an accountant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Funding applications they can actually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Compliance guidance that does not require a lawyer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thinking partner available 24/7</w:t>
      </w:r>
    </w:p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60"/>
        <w:gridCol w:w="2000"/>
      </w:tblGrid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28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Agent Use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Willingness to Pay</w:t>
            </w:r>
          </w:p>
        </w:tc>
      </w:tr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Hustler</w:t>
            </w:r>
          </w:p>
        </w:tc>
        <w:tc>
          <w:tcPr>
            <w:tcW w:type="dxa" w:w="2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Retail / Trading / Services</w:t>
            </w:r>
          </w:p>
        </w:tc>
        <w:tc>
          <w:tcPr>
            <w:tcW w:type="dxa" w:w="28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Proposals, invoicing, marketing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NAD 199–299/mo</w:t>
            </w:r>
          </w:p>
        </w:tc>
      </w:tr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Builder</w:t>
            </w:r>
          </w:p>
        </w:tc>
        <w:tc>
          <w:tcPr>
            <w:tcW w:type="dxa" w:w="2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Tech / Creative / Consulting</w:t>
            </w:r>
          </w:p>
        </w:tc>
        <w:tc>
          <w:tcPr>
            <w:tcW w:type="dxa" w:w="28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Pitches, strategy, client comms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NAD 399–599/mo</w:t>
            </w:r>
          </w:p>
        </w:tc>
      </w:tr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Grower</w:t>
            </w:r>
          </w:p>
        </w:tc>
        <w:tc>
          <w:tcPr>
            <w:tcW w:type="dxa" w:w="2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Established SME scaling up</w:t>
            </w:r>
          </w:p>
        </w:tc>
        <w:tc>
          <w:tcPr>
            <w:tcW w:type="dxa" w:w="28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Funding apps, team ops, compliance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NAD 699–999/mo</w:t>
            </w:r>
          </w:p>
        </w:tc>
      </w:tr>
    </w:tbl>
    <w:p>
      <w:r>
        <w:br w:type="page"/>
      </w:r>
    </w:p>
    <w:p>
      <w:pPr>
        <w:spacing w:after="160" w:before="0"/>
      </w:pPr>
    </w:p>
    <w:p>
      <w:pPr>
        <w:pBdr>
          <w:top w:val="single" w:color="1A1A1A" w:sz="8"/>
        </w:pBdr>
        <w:spacing w:after="0" w:before="480"/>
      </w:pPr>
      <w:r>
        <w:rPr>
          <w:rFonts w:ascii="Arial" w:cs="Arial" w:eastAsia="Arial" w:hAnsi="Arial"/>
          <w:b/>
          <w:bCs/>
          <w:color w:val="C87C1A"/>
          <w:sz w:val="48"/>
          <w:szCs w:val="48"/>
        </w:rPr>
        <w:t xml:space="preserve">03  </w:t>
      </w: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Product Architecture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Two Modes, One Platform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GlowAgent operates in two interlocked modes that activate contextually based on what the user is doing: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Learn Mode — Agentic Education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Teaches through the user's actual business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pre-built courses — learning is generated on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explains concepts while completing real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Micro-lessons embedded inside workflow, never interrupting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Build Mode — Agentic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Executes business tasks autonomously on behalf of the SME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Operates across proposals, finance, marketing, and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Remembers the business context across all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Produces real, usable deliverables — not suggestions</w:t>
      </w:r>
    </w:p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The Core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Diagnostic</w:t>
            </w:r>
          </w:p>
        </w:tc>
        <w:tc>
          <w:tcPr>
            <w:tcW w:type="dxa" w:w="58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10-question onboarding generates health score, top 3 gaps, and 30-day action plan. Free hook.</w:t>
            </w:r>
          </w:p>
        </w:tc>
      </w:tr>
      <w:tr>
        <w:tc>
          <w:tcPr>
            <w:tcW w:type="dxa" w:w="1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Context Engine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Memory Profile</w:t>
            </w:r>
          </w:p>
        </w:tc>
        <w:tc>
          <w:tcPr>
            <w:tcW w:type="dxa" w:w="58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inputs, tasks, and outputs stored persistently. Every agent call enriched with full business context.</w:t>
            </w:r>
          </w:p>
        </w:tc>
      </w:tr>
      <w:tr>
        <w:tc>
          <w:tcPr>
            <w:tcW w:type="dxa" w:w="1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Routing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58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Interprets user intent, routes to specialist agents. Manages multi-step tasks. Decides when to teach vs. execute.</w:t>
            </w:r>
          </w:p>
        </w:tc>
      </w:tr>
      <w:tr>
        <w:tc>
          <w:tcPr>
            <w:tcW w:type="dxa" w:w="1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Execution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Specialist Agents</w:t>
            </w:r>
          </w:p>
        </w:tc>
        <w:tc>
          <w:tcPr>
            <w:tcW w:type="dxa" w:w="58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Five focused agents: Diagnostic, Skills, Proposal, Finance, and Compliance. Each domain-tuned.</w:t>
            </w:r>
          </w:p>
        </w:tc>
      </w:tr>
      <w:tr>
        <w:tc>
          <w:tcPr>
            <w:tcW w:type="dxa" w:w="1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Output</w:t>
            </w:r>
          </w:p>
        </w:tc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Deliverable + Debrief</w:t>
            </w:r>
          </w:p>
        </w:tc>
        <w:tc>
          <w:tcPr>
            <w:tcW w:type="dxa" w:w="58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Build Mode action produces a real document. Every deliverable includes a 3-sentence Learn Mode debrief.</w:t>
            </w:r>
          </w:p>
        </w:tc>
      </w:tr>
    </w:tbl>
    <w:p>
      <w:r>
        <w:br w:type="page"/>
      </w:r>
    </w:p>
    <w:p>
      <w:pPr>
        <w:spacing w:after="160" w:before="0"/>
      </w:pPr>
    </w:p>
    <w:p>
      <w:pPr>
        <w:pBdr>
          <w:top w:val="single" w:color="1A1A1A" w:sz="8"/>
        </w:pBdr>
        <w:spacing w:after="0" w:before="480"/>
      </w:pPr>
      <w:r>
        <w:rPr>
          <w:rFonts w:ascii="Arial" w:cs="Arial" w:eastAsia="Arial" w:hAnsi="Arial"/>
          <w:b/>
          <w:bCs/>
          <w:color w:val="C87C1A"/>
          <w:sz w:val="48"/>
          <w:szCs w:val="48"/>
        </w:rPr>
        <w:t xml:space="preserve">04  </w:t>
      </w: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Agent Stack Specification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The Five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Diagnostic Agent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</w:t>
            </w:r>
          </w:p>
        </w:tc>
        <w:tc>
          <w:tcPr>
            <w:tcW w:type="dxa" w:w="5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Onboarding and health assessment. Scores business across 6 dimensions: revenue, operations, marketing, finance, compliance, and growth readiness.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Skills Agent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Learn Mode</w:t>
            </w:r>
          </w:p>
        </w:tc>
        <w:tc>
          <w:tcPr>
            <w:tcW w:type="dxa" w:w="5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Contextual micro-learning engine. Identifies knowledge gaps from task history and injects relevant teaching moments tied to business goals.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Proposal Agent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Mode</w:t>
            </w:r>
          </w:p>
        </w:tc>
        <w:tc>
          <w:tcPr>
            <w:tcW w:type="dxa" w:w="5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Generates professional business proposals, pitch deck outlines, funding applications, and client presentations using the user's business profile.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Finance Agent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Mode</w:t>
            </w:r>
          </w:p>
        </w:tc>
        <w:tc>
          <w:tcPr>
            <w:tcW w:type="dxa" w:w="5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Builds financial projections, cash flow models, and budget templates. Interprets financial health in plain language. Flags risks and recommends actions.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Compliance Agent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Mode</w:t>
            </w:r>
          </w:p>
        </w:tc>
        <w:tc>
          <w:tcPr>
            <w:tcW w:type="dxa" w:w="5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Guides SMEs through regulatory requirements in Namibia and South Africa — tax, B-BBEE, CIPC, and sector-specific compliance. Plain language only.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Intelligence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4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 reasoning for business context, SADC-aware</w:t>
            </w:r>
          </w:p>
        </w:tc>
      </w:tr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/ Next.js (mobile-first)</w:t>
            </w:r>
          </w:p>
        </w:tc>
        <w:tc>
          <w:tcPr>
            <w:tcW w:type="dxa" w:w="4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PWA-capable, works on low-bandwidth connections</w:t>
            </w:r>
          </w:p>
        </w:tc>
      </w:tr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Memory / Context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profile store (Supabase)</w:t>
            </w:r>
          </w:p>
        </w:tc>
        <w:tc>
          <w:tcPr>
            <w:tcW w:type="dxa" w:w="4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Persistent business context across all sessions</w:t>
            </w:r>
          </w:p>
        </w:tc>
      </w:tr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Phone number login for WhatsApp-native users</w:t>
            </w:r>
          </w:p>
        </w:tc>
      </w:tr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Peach Payments / PayFast</w:t>
            </w:r>
          </w:p>
        </w:tc>
        <w:tc>
          <w:tcPr>
            <w:tcW w:type="dxa" w:w="4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 SADC payment rails</w:t>
            </w:r>
          </w:p>
        </w:tc>
      </w:tr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Edge deployment, fast across Africa</w:t>
            </w:r>
          </w:p>
        </w:tc>
      </w:tr>
      <w:tr>
        <w:tc>
          <w:tcPr>
            <w:tcW w:type="dxa" w:w="2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Claude + Cursor (AI-assisted)</w:t>
            </w:r>
          </w:p>
        </w:tc>
        <w:tc>
          <w:tcPr>
            <w:tcW w:type="dxa" w:w="4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Enables solo build capacity</w:t>
            </w:r>
          </w:p>
        </w:tc>
      </w:tr>
    </w:tbl>
    <w:p>
      <w:r>
        <w:br w:type="page"/>
      </w:r>
    </w:p>
    <w:p>
      <w:pPr>
        <w:spacing w:after="160" w:before="0"/>
      </w:pPr>
    </w:p>
    <w:p>
      <w:pPr>
        <w:pBdr>
          <w:top w:val="single" w:color="1A1A1A" w:sz="8"/>
        </w:pBdr>
        <w:spacing w:after="0" w:before="480"/>
      </w:pPr>
      <w:r>
        <w:rPr>
          <w:rFonts w:ascii="Arial" w:cs="Arial" w:eastAsia="Arial" w:hAnsi="Arial"/>
          <w:b/>
          <w:bCs/>
          <w:color w:val="C87C1A"/>
          <w:sz w:val="48"/>
          <w:szCs w:val="48"/>
        </w:rPr>
        <w:t xml:space="preserve">05  </w:t>
      </w: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Feature Map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MVP Features — 90-Day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200"/>
        <w:gridCol w:w="3060"/>
      </w:tblGrid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onboarding and health score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Diagnostic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30-day action plan generation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Diagnostic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proposal generator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Proposal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Funding application assistant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Proposal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Basic financial projection tool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Finance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memory / profile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Agents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Contextual micro-learning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Skills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Learn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Marketing copy generator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Proposal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Cash flow analysis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Finance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35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Compliance checklist (NA/SA)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</w:t>
            </w:r>
          </w:p>
        </w:tc>
        <w:tc>
          <w:tcPr>
            <w:tcW w:type="dxa" w:w="30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P1 — High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Post-MVP Features — Month 4 to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WhatsApp Integration — Full agent access via WhatsApp Business API. No app download required.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Mentor Network — Connect SMEs to human mentors when agent escalates beyond AI capability.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Funding Marketplace — Automated matching of SMEs to grants, loans, and investors across SADC.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B2G Dashboard — Government-facing analytics on SME health, skills gaps, and funding needs.</w:t>
      </w:r>
    </w:p>
    <w:p>
      <w:r>
        <w:br w:type="page"/>
      </w:r>
    </w:p>
    <w:p>
      <w:pPr>
        <w:spacing w:after="160" w:before="0"/>
      </w:pPr>
    </w:p>
    <w:p>
      <w:pPr>
        <w:pBdr>
          <w:top w:val="single" w:color="1A1A1A" w:sz="8"/>
        </w:pBdr>
        <w:spacing w:after="0" w:before="480"/>
      </w:pPr>
      <w:r>
        <w:rPr>
          <w:rFonts w:ascii="Arial" w:cs="Arial" w:eastAsia="Arial" w:hAnsi="Arial"/>
          <w:b/>
          <w:bCs/>
          <w:color w:val="C87C1A"/>
          <w:sz w:val="48"/>
          <w:szCs w:val="48"/>
        </w:rPr>
        <w:t xml:space="preserve">06  </w:t>
      </w: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90-Day Build Plan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Phase 1 — Weeks 1 to 3: Foundation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Objective: Build the Diagnostic Agent and Business Profile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10-question onboarding flow and business health framework (6 dimensions)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Diagnostic Agent prompt architecture and scoring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business memory and profile data model in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Deploy basic mobile-first web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with 3–5 SMEs from existing Namibia/SA network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B03A12"/>
          <w:sz w:val="22"/>
          <w:szCs w:val="22"/>
        </w:rPr>
        <w:t xml:space="preserve">Milestone: Working diagnostic that produces a health score and 30-day action plan.</w:t>
      </w:r>
    </w:p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Phase 2 — Weeks 4 to 8: Core Agents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Objective: Build the full agent stack and go paid.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Proposal Agent — business proposals and funding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Finance Agent — basic projections and cash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Skills Agent — contextual micro-learning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Orchestrator Agent routing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user authentication and persistent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Integrate local payment gateway (Peach Payments or PayFast)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B03A12"/>
          <w:sz w:val="22"/>
          <w:szCs w:val="22"/>
        </w:rPr>
        <w:t xml:space="preserve">Milestone: Full MVP agent stack operational. Subscription paywall live.</w:t>
      </w:r>
    </w:p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Phase 3 — Weeks 9 to 12: Pilot and Monetization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Objective: Get to first MRR with real paying SMEs.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Recruit 20 pilot SMEs from Namibia and South Africa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Run structured onboarding sessions — group and 1:1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 weekly feedback and refine agent 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Convert free diagnostic users to paid subscriptions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Document 5 case studies for pitch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 investor and council presentation based on traction data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B03A12"/>
          <w:sz w:val="22"/>
          <w:szCs w:val="22"/>
        </w:rPr>
        <w:t xml:space="preserve">Milestone: 10+ paying SMEs. First MRR. Traction narrative ready for investment.</w:t>
      </w:r>
    </w:p>
    <w:p>
      <w:r>
        <w:br w:type="page"/>
      </w:r>
    </w:p>
    <w:p>
      <w:pPr>
        <w:spacing w:after="160" w:before="0"/>
      </w:pPr>
    </w:p>
    <w:p>
      <w:pPr>
        <w:pBdr>
          <w:top w:val="single" w:color="1A1A1A" w:sz="8"/>
        </w:pBdr>
        <w:spacing w:after="0" w:before="480"/>
      </w:pPr>
      <w:r>
        <w:rPr>
          <w:rFonts w:ascii="Arial" w:cs="Arial" w:eastAsia="Arial" w:hAnsi="Arial"/>
          <w:b/>
          <w:bCs/>
          <w:color w:val="C87C1A"/>
          <w:sz w:val="48"/>
          <w:szCs w:val="48"/>
        </w:rPr>
        <w:t xml:space="preserve">07  </w:t>
      </w: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Monetization Model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NAD/Month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ZAR/Month</w:t>
            </w:r>
          </w:p>
        </w:tc>
        <w:tc>
          <w:tcPr>
            <w:tcW w:type="dxa" w:w="4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</w:t>
            </w:r>
          </w:p>
        </w:tc>
        <w:tc>
          <w:tcPr>
            <w:tcW w:type="dxa" w:w="4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Diagnostic agent, health score, action plan (once only)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Builder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NAD 299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~ZAR 220</w:t>
            </w:r>
          </w:p>
        </w:tc>
        <w:tc>
          <w:tcPr>
            <w:tcW w:type="dxa" w:w="4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Proposal + Skills agents, 20 tasks per month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Operator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NAD 599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~ZAR 440</w:t>
            </w:r>
          </w:p>
        </w:tc>
        <w:tc>
          <w:tcPr>
            <w:tcW w:type="dxa" w:w="4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agents, unlimited tasks, business memory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NAD 999</w:t>
            </w:r>
          </w:p>
        </w:tc>
        <w:tc>
          <w:tcPr>
            <w:tcW w:type="dxa" w:w="14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~ZAR 730</w:t>
            </w:r>
          </w:p>
        </w:tc>
        <w:tc>
          <w:tcPr>
            <w:tcW w:type="dxa" w:w="47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agents + compliance + priority support + analytics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90-Day Revenue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Pilot Users</w:t>
            </w:r>
          </w:p>
        </w:tc>
        <w:tc>
          <w:tcPr>
            <w:tcW w:type="dxa" w:w="4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SMEs onboarded</w:t>
            </w:r>
          </w:p>
        </w:tc>
      </w:tr>
      <w:tr>
        <w:tc>
          <w:tcPr>
            <w:tcW w:type="dxa" w:w="4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Paying Users by Day 90</w:t>
            </w:r>
          </w:p>
        </w:tc>
        <w:tc>
          <w:tcPr>
            <w:tcW w:type="dxa" w:w="4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 active subscriptions</w:t>
            </w:r>
          </w:p>
        </w:tc>
      </w:tr>
      <w:tr>
        <w:tc>
          <w:tcPr>
            <w:tcW w:type="dxa" w:w="4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First MRR</w:t>
            </w:r>
          </w:p>
        </w:tc>
        <w:tc>
          <w:tcPr>
            <w:tcW w:type="dxa" w:w="4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ZAR 5,000</w:t>
            </w:r>
          </w:p>
        </w:tc>
      </w:tr>
      <w:tr>
        <w:tc>
          <w:tcPr>
            <w:tcW w:type="dxa" w:w="4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Annualised Run-Rate</w:t>
            </w:r>
          </w:p>
        </w:tc>
        <w:tc>
          <w:tcPr>
            <w:tcW w:type="dxa" w:w="468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ZAR 60,000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Future Revenue Streams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Near-Term (Month 4–12):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Referral commissions from funding partners and financial institutions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Corporate B2B — train supplier SMEs at scale for large corporates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White-label platform for NGOs and development programmes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Long-Term (Year 2+):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B2G — government SME support programme infrastructure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Funding marketplace with percentage of facilitated capital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SADC regional expansion — Botswana, Zimbabwe, Zambia</w:t>
      </w:r>
    </w:p>
    <w:p>
      <w:r>
        <w:br w:type="page"/>
      </w:r>
    </w:p>
    <w:p>
      <w:pPr>
        <w:spacing w:after="160" w:before="0"/>
      </w:pPr>
    </w:p>
    <w:p>
      <w:pPr>
        <w:pBdr>
          <w:top w:val="single" w:color="1A1A1A" w:sz="8"/>
        </w:pBdr>
        <w:spacing w:after="0" w:before="480"/>
      </w:pPr>
      <w:r>
        <w:rPr>
          <w:rFonts w:ascii="Arial" w:cs="Arial" w:eastAsia="Arial" w:hAnsi="Arial"/>
          <w:b/>
          <w:bCs/>
          <w:color w:val="C87C1A"/>
          <w:sz w:val="48"/>
          <w:szCs w:val="48"/>
        </w:rPr>
        <w:t xml:space="preserve">08  </w:t>
      </w: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Success Metrics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Product Health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2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SMEs using agent 2+ times per week</w:t>
            </w:r>
          </w:p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2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subscriptions</w:t>
            </w:r>
          </w:p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2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MRR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ZAR 5K</w:t>
            </w:r>
          </w:p>
        </w:tc>
        <w:tc>
          <w:tcPr>
            <w:tcW w:type="dxa" w:w="2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ZAR 100K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 of agent tasks completed successfully</w:t>
            </w:r>
          </w:p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70%</w:t>
            </w:r>
          </w:p>
        </w:tc>
        <w:tc>
          <w:tcPr>
            <w:tcW w:type="dxa" w:w="2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to Paid Conversion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 of free users converting to paid</w:t>
            </w:r>
          </w:p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25%</w:t>
            </w:r>
          </w:p>
        </w:tc>
        <w:tc>
          <w:tcPr>
            <w:tcW w:type="dxa" w:w="2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Would-recommend score</w:t>
            </w:r>
          </w:p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&gt;40</w:t>
            </w:r>
          </w:p>
        </w:tc>
        <w:tc>
          <w:tcPr>
            <w:tcW w:type="dxa" w:w="2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&gt;60</w:t>
            </w:r>
          </w:p>
        </w:tc>
      </w:tr>
      <w:tr>
        <w:tc>
          <w:tcPr>
            <w:tcW w:type="dxa" w:w="22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Outcomes</w:t>
            </w:r>
          </w:p>
        </w:tc>
        <w:tc>
          <w:tcPr>
            <w:tcW w:type="dxa" w:w="2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Proposals submitted, funding accessed</w:t>
            </w:r>
          </w:p>
        </w:tc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 proposals</w:t>
            </w:r>
          </w:p>
        </w:tc>
        <w:tc>
          <w:tcPr>
            <w:tcW w:type="dxa" w:w="25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200 proposals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Impact Metrics — For Council and Government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SME Revenue Growth — Track reported revenue growth of active users vs. control group over 6 months.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Skills Acquisition — Measure business knowledge score improvement from onboarding to 90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Capital Accessed — Total funding secured by GlowAgent users through proposals and applications generated on platform.</w:t>
      </w:r>
    </w:p>
    <w:p>
      <w:r>
        <w:br w:type="page"/>
      </w:r>
    </w:p>
    <w:p>
      <w:pPr>
        <w:spacing w:after="160" w:before="0"/>
      </w:pPr>
    </w:p>
    <w:p>
      <w:pPr>
        <w:pBdr>
          <w:top w:val="single" w:color="1A1A1A" w:sz="8"/>
        </w:pBdr>
        <w:spacing w:after="0" w:before="480"/>
      </w:pPr>
      <w:r>
        <w:rPr>
          <w:rFonts w:ascii="Arial" w:cs="Arial" w:eastAsia="Arial" w:hAnsi="Arial"/>
          <w:b/>
          <w:bCs/>
          <w:color w:val="C87C1A"/>
          <w:sz w:val="48"/>
          <w:szCs w:val="48"/>
        </w:rPr>
        <w:t xml:space="preserve">09  </w:t>
      </w: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Strategic Roadmap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The Three Horizons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H1 — Build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MVP, pilot cohort, first MRR</w:t>
            </w:r>
          </w:p>
        </w:tc>
        <w:tc>
          <w:tcPr>
            <w:tcW w:type="dxa" w:w="2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 paying SMEs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H2 — Scale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4–12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WhatsApp, 500 users, B2B</w:t>
            </w:r>
          </w:p>
        </w:tc>
        <w:tc>
          <w:tcPr>
            <w:tcW w:type="dxa" w:w="2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ZAR 100K MRR</w:t>
            </w:r>
          </w:p>
        </w:tc>
      </w:tr>
      <w:tr>
        <w:tc>
          <w:tcPr>
            <w:tcW w:type="dxa" w:w="18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H3 — Infrastructure</w:t>
            </w:r>
          </w:p>
        </w:tc>
        <w:tc>
          <w:tcPr>
            <w:tcW w:type="dxa" w:w="16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Year 2–3</w:t>
            </w:r>
          </w:p>
        </w:tc>
        <w:tc>
          <w:tcPr>
            <w:tcW w:type="dxa" w:w="300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B2G, SADC expansion, Series A</w:t>
            </w:r>
          </w:p>
        </w:tc>
        <w:tc>
          <w:tcPr>
            <w:tcW w:type="dxa" w:w="29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FFFD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10K SMEs across SADC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B03A12"/>
          <w:sz w:val="26"/>
          <w:szCs w:val="26"/>
        </w:rPr>
        <w:t xml:space="preserve">Competitive Positioning &amp; Moats</w:t>
      </w:r>
    </w:p>
    <w:p>
      <w:pPr>
        <w:spacing w:after="12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GlowAgent's defensibility is not the AI — it is the African context, SME data, and ecosystem relationships that Glowdom Technologies uniquely holds.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Key Moats: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SADC-specific compliance and funding knowledge baked into every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SME business profile data that becomes proprietary and valuable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Council and government relationships enabling B2G distribution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First-mover advantage in the agentic SME platform category across SADC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Sebulon David's African network as a zero-cost distribution engine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Key Risks and Mitigations: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Low willingness to pay — Mitigate with ROI-based pricing and value-first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Connectivity limitations — Mitigate with offline-capable PWA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Big tech market entry — Mitigate through local context, relationships, and proprietary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Solo build bottleneck — Mitigate with AI-assisted development and modular build approach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9B0" w:sz="1"/>
              <w:left w:val="single" w:color="D4C9B0" w:sz="1"/>
              <w:bottom w:val="single" w:color="D4C9B0" w:sz="1"/>
              <w:right w:val="single" w:color="D4C9B0" w:sz="1"/>
            </w:tcBorders>
            <w:shd w:fill="E8A02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The end state: GlowAgent becomes the operating system for African entrepreneurship — the infrastructure layer through which SMEs access capital, skills, compliance, and markets. Built in Namibia. Scaled across Africa.</w:t>
            </w:r>
          </w:p>
        </w:tc>
      </w:tr>
    </w:tbl>
    <w:p>
      <w:pPr>
        <w:spacing w:after="320" w:before="0"/>
      </w:pPr>
    </w:p>
    <w:p>
      <w:pPr>
        <w:pBdr>
          <w:top w:val="single" w:color="D4C9B0" w:sz="6"/>
        </w:pBdr>
        <w:spacing w:after="0" w:before="480"/>
      </w:pPr>
    </w:p>
    <w:p>
      <w:pPr>
        <w:spacing w:after="80" w:before="1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GlowAgent by Glowdom Technologies  |  Product Specification v1.0  |  March 2026  |  Confidential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Sebulon David  |  AI SADC Regional Director  |  Council Member: Creative &amp; Entrepreneurship Innovation (Namibia &amp; SA)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9B0" w:sz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555555"/>
        <w:sz w:val="16"/>
        <w:szCs w:val="16"/>
      </w:rPr>
      <w:t xml:space="preserve">Sebulon David  |  AI SADC Regional Director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C1A" w:sz="4"/>
      </w:pBdr>
      <w:spacing w:after="120" w:before="0"/>
    </w:pPr>
    <w:r>
      <w:rPr>
        <w:rFonts w:ascii="Arial" w:cs="Arial" w:eastAsia="Arial" w:hAnsi="Arial"/>
        <w:b/>
        <w:bCs/>
        <w:color w:val="C87C1A"/>
        <w:sz w:val="18"/>
        <w:szCs w:val="18"/>
      </w:rPr>
      <w:t xml:space="preserve">GLOWAGENT  </w:t>
    </w:r>
    <w:r>
      <w:rPr>
        <w:rFonts w:ascii="Arial" w:cs="Arial" w:eastAsia="Arial" w:hAnsi="Arial"/>
        <w:color w:val="555555"/>
        <w:sz w:val="16"/>
        <w:szCs w:val="16"/>
      </w:rPr>
      <w:t xml:space="preserve">Product Specification v1.0  |  Glowdom Technologies  |  March 2026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B03A1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2026-03-27T02:17:29.626Z</dcterms:created>
  <dcterms:modified xsi:type="dcterms:W3CDTF">2026-03-27T02:17:29.626Z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