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56" w:type="dxa"/>
        <w:tblInd w:w="-34" w:type="dxa"/>
        <w:tblLook w:val="04A0" w:firstRow="1" w:lastRow="0" w:firstColumn="1" w:lastColumn="0" w:noHBand="0" w:noVBand="1"/>
      </w:tblPr>
      <w:tblGrid>
        <w:gridCol w:w="9356"/>
      </w:tblGrid>
      <w:tr w:rsidR="00EA5765" w:rsidRPr="009A53E7" w14:paraId="73FCF8EC" w14:textId="77777777" w:rsidTr="00EA5765">
        <w:tc>
          <w:tcPr>
            <w:tcW w:w="9356" w:type="dxa"/>
          </w:tcPr>
          <w:p w14:paraId="1C11DAA0" w14:textId="77777777" w:rsidR="00EA5765" w:rsidRDefault="00EA5765" w:rsidP="00371CF7">
            <w:pPr>
              <w:spacing w:before="0" w:line="280" w:lineRule="exact"/>
              <w:jc w:val="center"/>
              <w:rPr>
                <w:rFonts w:ascii="Calibri" w:hAnsi="Calibri"/>
                <w:b/>
                <w:sz w:val="22"/>
                <w:szCs w:val="22"/>
              </w:rPr>
            </w:pPr>
            <w:r w:rsidRPr="009A53E7">
              <w:rPr>
                <w:rFonts w:ascii="Calibri" w:hAnsi="Calibri"/>
                <w:b/>
                <w:sz w:val="22"/>
                <w:szCs w:val="22"/>
              </w:rPr>
              <w:t xml:space="preserve">SURAT KUASA YANG TIDAK DAPAT DITARIK KEMBALI UNTUK </w:t>
            </w:r>
            <w:r>
              <w:rPr>
                <w:rFonts w:ascii="Calibri" w:hAnsi="Calibri"/>
                <w:b/>
                <w:sz w:val="22"/>
                <w:szCs w:val="22"/>
              </w:rPr>
              <w:t>MENGELUARKAN</w:t>
            </w:r>
            <w:r w:rsidRPr="009A53E7">
              <w:rPr>
                <w:rFonts w:ascii="Calibri" w:hAnsi="Calibri"/>
                <w:b/>
                <w:sz w:val="22"/>
                <w:szCs w:val="22"/>
              </w:rPr>
              <w:t xml:space="preserve"> SUARA</w:t>
            </w:r>
          </w:p>
        </w:tc>
      </w:tr>
      <w:tr w:rsidR="00EA5765" w:rsidRPr="009A53E7" w14:paraId="07529DD6" w14:textId="77777777" w:rsidTr="00EA5765">
        <w:tc>
          <w:tcPr>
            <w:tcW w:w="9356" w:type="dxa"/>
          </w:tcPr>
          <w:p w14:paraId="4AE67CE8" w14:textId="77777777" w:rsidR="00EA5765" w:rsidRDefault="00EA5765" w:rsidP="00F71CDF">
            <w:pPr>
              <w:spacing w:before="0" w:line="280" w:lineRule="exact"/>
              <w:contextualSpacing/>
              <w:jc w:val="center"/>
              <w:rPr>
                <w:rFonts w:ascii="Calibri" w:hAnsi="Calibri"/>
                <w:b/>
                <w:sz w:val="22"/>
                <w:szCs w:val="22"/>
              </w:rPr>
            </w:pPr>
          </w:p>
        </w:tc>
      </w:tr>
      <w:tr w:rsidR="00EA5765" w:rsidRPr="009A53E7" w14:paraId="005A2C26" w14:textId="77777777" w:rsidTr="00EA5765">
        <w:tc>
          <w:tcPr>
            <w:tcW w:w="9356" w:type="dxa"/>
          </w:tcPr>
          <w:p w14:paraId="077DCE26" w14:textId="77777777" w:rsidR="00EA5765" w:rsidRPr="00622190" w:rsidRDefault="00EA5765" w:rsidP="00F71CDF">
            <w:pPr>
              <w:spacing w:before="0" w:line="280" w:lineRule="exact"/>
              <w:jc w:val="both"/>
              <w:rPr>
                <w:rFonts w:ascii="Calibri" w:hAnsi="Calibri"/>
                <w:sz w:val="22"/>
                <w:szCs w:val="22"/>
              </w:rPr>
            </w:pPr>
            <w:r w:rsidRPr="00622190">
              <w:rPr>
                <w:rFonts w:ascii="Calibri" w:hAnsi="Calibri"/>
                <w:b/>
                <w:bCs/>
                <w:sz w:val="22"/>
                <w:szCs w:val="22"/>
              </w:rPr>
              <w:t xml:space="preserve">SURAT KUASA YANG TIDAK DAPAT DITARIK KEMBALI UNTUK </w:t>
            </w:r>
            <w:r>
              <w:rPr>
                <w:rFonts w:ascii="Calibri" w:hAnsi="Calibri"/>
                <w:b/>
                <w:bCs/>
                <w:sz w:val="22"/>
                <w:szCs w:val="22"/>
              </w:rPr>
              <w:t xml:space="preserve">MENGELUARKAN </w:t>
            </w:r>
            <w:r w:rsidRPr="00622190">
              <w:rPr>
                <w:rFonts w:ascii="Calibri" w:hAnsi="Calibri"/>
                <w:b/>
                <w:bCs/>
                <w:sz w:val="22"/>
                <w:szCs w:val="22"/>
              </w:rPr>
              <w:t>SUARA</w:t>
            </w:r>
            <w:r w:rsidRPr="009A53E7">
              <w:rPr>
                <w:rFonts w:ascii="Calibri" w:hAnsi="Calibri"/>
                <w:b/>
                <w:sz w:val="22"/>
                <w:szCs w:val="22"/>
              </w:rPr>
              <w:t xml:space="preserve"> </w:t>
            </w:r>
            <w:r w:rsidRPr="009A53E7">
              <w:rPr>
                <w:rFonts w:ascii="Calibri" w:hAnsi="Calibri"/>
                <w:sz w:val="22"/>
                <w:szCs w:val="22"/>
              </w:rPr>
              <w:t>ini (“</w:t>
            </w:r>
            <w:r w:rsidRPr="009A53E7">
              <w:rPr>
                <w:rFonts w:ascii="Calibri" w:hAnsi="Calibri"/>
                <w:b/>
                <w:sz w:val="22"/>
                <w:szCs w:val="22"/>
              </w:rPr>
              <w:t>Surat Kuasa</w:t>
            </w:r>
            <w:r w:rsidRPr="009A53E7">
              <w:rPr>
                <w:rFonts w:ascii="Calibri" w:hAnsi="Calibri"/>
                <w:sz w:val="22"/>
                <w:szCs w:val="22"/>
              </w:rPr>
              <w:t>”) dibuat pada tanggal</w:t>
            </w:r>
            <w:r>
              <w:rPr>
                <w:rFonts w:ascii="Calibri" w:hAnsi="Calibri"/>
                <w:sz w:val="22"/>
                <w:szCs w:val="22"/>
              </w:rPr>
              <w:t xml:space="preserve"> __________</w:t>
            </w:r>
            <w:r w:rsidRPr="009A53E7">
              <w:rPr>
                <w:rFonts w:ascii="Calibri" w:hAnsi="Calibri"/>
                <w:sz w:val="22"/>
                <w:szCs w:val="22"/>
              </w:rPr>
              <w:t>, oleh:</w:t>
            </w:r>
          </w:p>
        </w:tc>
      </w:tr>
      <w:tr w:rsidR="00EA5765" w:rsidRPr="009A53E7" w14:paraId="5999B27E" w14:textId="77777777" w:rsidTr="00EA5765">
        <w:tc>
          <w:tcPr>
            <w:tcW w:w="9356" w:type="dxa"/>
          </w:tcPr>
          <w:p w14:paraId="1E5C64F4" w14:textId="77777777" w:rsidR="00EA5765" w:rsidRPr="00622190" w:rsidRDefault="00EA5765" w:rsidP="00F71CDF">
            <w:pPr>
              <w:spacing w:before="0" w:line="280" w:lineRule="exact"/>
              <w:jc w:val="both"/>
              <w:rPr>
                <w:rFonts w:ascii="Calibri" w:hAnsi="Calibri"/>
                <w:b/>
                <w:bCs/>
                <w:sz w:val="22"/>
                <w:szCs w:val="22"/>
              </w:rPr>
            </w:pPr>
          </w:p>
        </w:tc>
      </w:tr>
      <w:tr w:rsidR="00EA5765" w:rsidRPr="009A53E7" w14:paraId="0C14B9E2" w14:textId="77777777" w:rsidTr="00EA5765">
        <w:trPr>
          <w:trHeight w:val="1259"/>
        </w:trPr>
        <w:tc>
          <w:tcPr>
            <w:tcW w:w="9356" w:type="dxa"/>
          </w:tcPr>
          <w:p w14:paraId="7861696E" w14:textId="26ADEF9A" w:rsidR="00EA5765" w:rsidRPr="009A53E7" w:rsidRDefault="00BB3E61" w:rsidP="00850539">
            <w:pPr>
              <w:spacing w:before="0" w:line="280" w:lineRule="exact"/>
              <w:jc w:val="both"/>
              <w:rPr>
                <w:rFonts w:ascii="Calibri" w:hAnsi="Calibri"/>
                <w:sz w:val="22"/>
                <w:szCs w:val="22"/>
                <w:lang w:val="fr-FR"/>
              </w:rPr>
            </w:pPr>
            <w:r>
              <w:rPr>
                <w:rFonts w:ascii="Calibri" w:hAnsi="Calibri"/>
                <w:b/>
                <w:sz w:val="22"/>
                <w:szCs w:val="22"/>
              </w:rPr>
              <w:t>JOHAN SATRIA PUTRA</w:t>
            </w:r>
            <w:r w:rsidR="00EA5765" w:rsidRPr="00774E1F">
              <w:rPr>
                <w:rFonts w:ascii="Calibri" w:hAnsi="Calibri"/>
                <w:b/>
                <w:sz w:val="22"/>
                <w:szCs w:val="22"/>
              </w:rPr>
              <w:t>,</w:t>
            </w:r>
            <w:r w:rsidR="00EA5765" w:rsidRPr="00774E1F">
              <w:rPr>
                <w:rFonts w:ascii="Calibri" w:hAnsi="Calibri" w:cs="Calibri"/>
                <w:sz w:val="22"/>
                <w:szCs w:val="22"/>
              </w:rPr>
              <w:t xml:space="preserve"> Warga Negara Indonesia, pemegang Kartu Tanda Penduduk No. </w:t>
            </w:r>
            <w:r w:rsidR="00B5716B" w:rsidRPr="00B5716B">
              <w:rPr>
                <w:rFonts w:ascii="Calibri" w:hAnsi="Calibri"/>
                <w:sz w:val="22"/>
                <w:szCs w:val="22"/>
              </w:rPr>
              <w:t>3216070909850013</w:t>
            </w:r>
            <w:r w:rsidR="00EA5765" w:rsidRPr="00774E1F">
              <w:rPr>
                <w:rFonts w:ascii="Calibri" w:hAnsi="Calibri" w:cs="Calibri"/>
                <w:sz w:val="22"/>
                <w:szCs w:val="22"/>
              </w:rPr>
              <w:t xml:space="preserve"> dan berdomisili di</w:t>
            </w:r>
            <w:r w:rsidR="005C22C1">
              <w:rPr>
                <w:rFonts w:ascii="Calibri" w:hAnsi="Calibri" w:cs="Calibri"/>
                <w:sz w:val="22"/>
                <w:szCs w:val="22"/>
              </w:rPr>
              <w:t xml:space="preserve"> </w:t>
            </w:r>
            <w:r w:rsidR="008E24A0">
              <w:rPr>
                <w:rFonts w:ascii="Calibri" w:hAnsi="Calibri" w:cs="Calibri"/>
                <w:sz w:val="22"/>
                <w:szCs w:val="22"/>
              </w:rPr>
              <w:t>Kp. Rawa Banteng</w:t>
            </w:r>
            <w:r w:rsidR="00EA5765" w:rsidRPr="00774E1F">
              <w:rPr>
                <w:rFonts w:ascii="Calibri" w:hAnsi="Calibri"/>
                <w:sz w:val="22"/>
                <w:szCs w:val="22"/>
              </w:rPr>
              <w:t>, RT 0</w:t>
            </w:r>
            <w:r w:rsidR="008E24A0">
              <w:rPr>
                <w:rFonts w:ascii="Calibri" w:hAnsi="Calibri"/>
                <w:sz w:val="22"/>
                <w:szCs w:val="22"/>
              </w:rPr>
              <w:t>02</w:t>
            </w:r>
            <w:r w:rsidR="00EA5765" w:rsidRPr="00774E1F">
              <w:rPr>
                <w:rFonts w:ascii="Calibri" w:hAnsi="Calibri"/>
                <w:sz w:val="22"/>
                <w:szCs w:val="22"/>
              </w:rPr>
              <w:t>/RW 0</w:t>
            </w:r>
            <w:r w:rsidR="008E24A0">
              <w:rPr>
                <w:rFonts w:ascii="Calibri" w:hAnsi="Calibri"/>
                <w:sz w:val="22"/>
                <w:szCs w:val="22"/>
              </w:rPr>
              <w:t>13</w:t>
            </w:r>
            <w:r w:rsidR="00EA5765" w:rsidRPr="00774E1F">
              <w:rPr>
                <w:rFonts w:ascii="Calibri" w:hAnsi="Calibri"/>
                <w:sz w:val="22"/>
                <w:szCs w:val="22"/>
              </w:rPr>
              <w:t xml:space="preserve">, </w:t>
            </w:r>
            <w:r w:rsidR="008E24A0">
              <w:rPr>
                <w:rFonts w:ascii="Calibri" w:hAnsi="Calibri"/>
                <w:sz w:val="22"/>
                <w:szCs w:val="22"/>
              </w:rPr>
              <w:t>Cibuntu</w:t>
            </w:r>
            <w:r w:rsidR="00EA5765" w:rsidRPr="00774E1F">
              <w:rPr>
                <w:rFonts w:ascii="Calibri" w:hAnsi="Calibri"/>
                <w:sz w:val="22"/>
                <w:szCs w:val="22"/>
              </w:rPr>
              <w:t xml:space="preserve">, </w:t>
            </w:r>
            <w:r w:rsidR="00E8098C">
              <w:rPr>
                <w:rFonts w:ascii="Calibri" w:hAnsi="Calibri"/>
                <w:sz w:val="22"/>
                <w:szCs w:val="22"/>
              </w:rPr>
              <w:t>Cibitung</w:t>
            </w:r>
            <w:r w:rsidR="00EA5765">
              <w:rPr>
                <w:rFonts w:ascii="Calibri" w:hAnsi="Calibri"/>
                <w:sz w:val="22"/>
                <w:szCs w:val="22"/>
              </w:rPr>
              <w:t xml:space="preserve">, </w:t>
            </w:r>
            <w:r w:rsidR="00E8098C">
              <w:rPr>
                <w:rFonts w:ascii="Calibri" w:hAnsi="Calibri"/>
                <w:sz w:val="22"/>
                <w:szCs w:val="22"/>
              </w:rPr>
              <w:t>Kabupaten Bekasi, Provinsi Jawa Barat</w:t>
            </w:r>
            <w:r w:rsidR="00EA5765" w:rsidDel="00E8098C">
              <w:rPr>
                <w:rFonts w:ascii="Calibri" w:hAnsi="Calibri"/>
                <w:sz w:val="22"/>
                <w:szCs w:val="22"/>
              </w:rPr>
              <w:t xml:space="preserve"> </w:t>
            </w:r>
            <w:r w:rsidR="00EA5765" w:rsidRPr="009A53E7">
              <w:rPr>
                <w:rFonts w:ascii="Calibri" w:hAnsi="Calibri"/>
                <w:sz w:val="22"/>
                <w:szCs w:val="22"/>
                <w:lang w:val="fr-FR"/>
              </w:rPr>
              <w:t>(“</w:t>
            </w:r>
            <w:r w:rsidR="00EA5765" w:rsidRPr="009A53E7">
              <w:rPr>
                <w:rFonts w:ascii="Calibri" w:hAnsi="Calibri"/>
                <w:b/>
                <w:sz w:val="22"/>
                <w:szCs w:val="22"/>
                <w:lang w:val="fr-FR"/>
              </w:rPr>
              <w:t>Pemberi Kuasa</w:t>
            </w:r>
            <w:r w:rsidR="00EA5765" w:rsidRPr="009A53E7">
              <w:rPr>
                <w:rFonts w:ascii="Calibri" w:hAnsi="Calibri"/>
                <w:sz w:val="22"/>
                <w:szCs w:val="22"/>
                <w:lang w:val="fr-FR"/>
              </w:rPr>
              <w:t xml:space="preserve">”) </w:t>
            </w:r>
          </w:p>
          <w:p w14:paraId="4C16A31C" w14:textId="77777777" w:rsidR="00EA5765" w:rsidRPr="009A53E7" w:rsidRDefault="00EA5765" w:rsidP="00850539">
            <w:pPr>
              <w:spacing w:before="0" w:line="280" w:lineRule="exact"/>
              <w:jc w:val="both"/>
              <w:rPr>
                <w:rFonts w:ascii="Calibri" w:hAnsi="Calibri"/>
                <w:sz w:val="22"/>
                <w:szCs w:val="22"/>
              </w:rPr>
            </w:pPr>
          </w:p>
          <w:p w14:paraId="1B7C56A5" w14:textId="77777777" w:rsidR="00EA5765" w:rsidRPr="00622190" w:rsidRDefault="00EA5765" w:rsidP="00622190">
            <w:pPr>
              <w:spacing w:before="0" w:line="280" w:lineRule="exact"/>
              <w:jc w:val="both"/>
              <w:rPr>
                <w:rFonts w:ascii="Calibri" w:hAnsi="Calibri"/>
                <w:sz w:val="22"/>
                <w:szCs w:val="22"/>
              </w:rPr>
            </w:pPr>
            <w:r>
              <w:rPr>
                <w:rFonts w:ascii="Calibri" w:hAnsi="Calibri"/>
                <w:sz w:val="22"/>
                <w:szCs w:val="22"/>
              </w:rPr>
              <w:t>u</w:t>
            </w:r>
            <w:r w:rsidRPr="009A53E7">
              <w:rPr>
                <w:rFonts w:ascii="Calibri" w:hAnsi="Calibri"/>
                <w:sz w:val="22"/>
                <w:szCs w:val="22"/>
              </w:rPr>
              <w:t xml:space="preserve">ntuk kepentingan: </w:t>
            </w:r>
          </w:p>
        </w:tc>
      </w:tr>
      <w:tr w:rsidR="00EA5765" w:rsidRPr="009A53E7" w14:paraId="3387F7C9" w14:textId="77777777" w:rsidTr="00EA5765">
        <w:tc>
          <w:tcPr>
            <w:tcW w:w="9356" w:type="dxa"/>
          </w:tcPr>
          <w:p w14:paraId="122BC096" w14:textId="77777777" w:rsidR="00EA5765" w:rsidRPr="009A53E7" w:rsidRDefault="00EA5765" w:rsidP="00F71CD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496"/>
              </w:tabs>
              <w:spacing w:before="0" w:line="280" w:lineRule="exact"/>
              <w:contextualSpacing/>
              <w:jc w:val="both"/>
              <w:rPr>
                <w:rFonts w:ascii="Calibri" w:hAnsi="Calibri" w:cs="Arial"/>
                <w:b/>
                <w:sz w:val="22"/>
                <w:szCs w:val="22"/>
              </w:rPr>
            </w:pPr>
          </w:p>
        </w:tc>
      </w:tr>
      <w:tr w:rsidR="00EA5765" w:rsidRPr="009A53E7" w14:paraId="784EAC44" w14:textId="77777777" w:rsidTr="00EA5765">
        <w:tc>
          <w:tcPr>
            <w:tcW w:w="9356" w:type="dxa"/>
          </w:tcPr>
          <w:p w14:paraId="0239A3D4" w14:textId="329DF0BA" w:rsidR="00EA5765" w:rsidRPr="009A53E7" w:rsidRDefault="00E8098C" w:rsidP="00F71CDF">
            <w:pPr>
              <w:autoSpaceDE w:val="0"/>
              <w:autoSpaceDN w:val="0"/>
              <w:adjustRightInd w:val="0"/>
              <w:spacing w:before="0" w:line="280" w:lineRule="exact"/>
              <w:contextualSpacing/>
              <w:jc w:val="both"/>
              <w:rPr>
                <w:rFonts w:ascii="Calibri" w:hAnsi="Calibri" w:cs="Arial"/>
                <w:b/>
                <w:bCs/>
                <w:sz w:val="22"/>
                <w:szCs w:val="22"/>
                <w:lang w:eastAsia="en-AU"/>
              </w:rPr>
            </w:pPr>
            <w:r>
              <w:rPr>
                <w:rFonts w:ascii="Calibri" w:hAnsi="Calibri" w:cs="Arial"/>
                <w:b/>
                <w:bCs/>
                <w:sz w:val="22"/>
                <w:szCs w:val="22"/>
                <w:lang w:eastAsia="en-AU"/>
              </w:rPr>
              <w:t>PT PRASETYA KARYA CIPTA</w:t>
            </w:r>
            <w:r w:rsidR="00EA5765" w:rsidRPr="009A53E7">
              <w:rPr>
                <w:rFonts w:ascii="Calibri" w:hAnsi="Calibri"/>
                <w:sz w:val="22"/>
                <w:szCs w:val="22"/>
              </w:rPr>
              <w:t>, suatu perusahaan yang didirikan berdasarkan hukum</w:t>
            </w:r>
            <w:r w:rsidR="00EA5765" w:rsidRPr="009A53E7" w:rsidDel="00E8098C">
              <w:rPr>
                <w:rFonts w:ascii="Calibri" w:hAnsi="Calibri"/>
                <w:sz w:val="22"/>
                <w:szCs w:val="22"/>
              </w:rPr>
              <w:t xml:space="preserve"> </w:t>
            </w:r>
            <w:r>
              <w:rPr>
                <w:rFonts w:ascii="Calibri" w:hAnsi="Calibri"/>
                <w:sz w:val="22"/>
                <w:szCs w:val="22"/>
              </w:rPr>
              <w:t>Republik Indonesia</w:t>
            </w:r>
            <w:r w:rsidR="00EA5765" w:rsidRPr="009A53E7">
              <w:rPr>
                <w:rFonts w:ascii="Calibri" w:hAnsi="Calibri"/>
                <w:sz w:val="22"/>
                <w:szCs w:val="22"/>
              </w:rPr>
              <w:t xml:space="preserve">, beralamat di </w:t>
            </w:r>
            <w:r w:rsidR="003813C3" w:rsidRPr="00F21F9A">
              <w:rPr>
                <w:rFonts w:ascii="Calibri" w:hAnsi="Calibri" w:cs="Arial"/>
                <w:sz w:val="22"/>
                <w:szCs w:val="22"/>
                <w:lang w:eastAsia="en-AU"/>
              </w:rPr>
              <w:t>Sedayu Square Blok L 30-32, Jl. Outer Ring Road, Cengkareng, Jakarta Barat - 11730</w:t>
            </w:r>
            <w:r w:rsidR="00EA5765" w:rsidRPr="009A53E7">
              <w:rPr>
                <w:rFonts w:ascii="Calibri" w:hAnsi="Calibri" w:cs="Arial"/>
                <w:sz w:val="22"/>
                <w:szCs w:val="22"/>
                <w:lang w:eastAsia="en-AU"/>
              </w:rPr>
              <w:t xml:space="preserve"> (“</w:t>
            </w:r>
            <w:r w:rsidR="003813C3">
              <w:rPr>
                <w:rFonts w:ascii="Calibri" w:hAnsi="Calibri" w:cs="Arial"/>
                <w:b/>
                <w:bCs/>
                <w:sz w:val="22"/>
                <w:szCs w:val="22"/>
                <w:lang w:eastAsia="en-AU"/>
              </w:rPr>
              <w:t>PT PKC</w:t>
            </w:r>
            <w:r w:rsidR="00EA5765" w:rsidRPr="009A53E7">
              <w:rPr>
                <w:rFonts w:ascii="Calibri" w:hAnsi="Calibri" w:cs="Arial"/>
                <w:sz w:val="22"/>
                <w:szCs w:val="22"/>
                <w:lang w:eastAsia="en-AU"/>
              </w:rPr>
              <w:t>")</w:t>
            </w:r>
            <w:r w:rsidR="00EA5765" w:rsidRPr="009A53E7">
              <w:rPr>
                <w:rFonts w:ascii="Calibri" w:hAnsi="Calibri" w:cs="Arial"/>
                <w:b/>
                <w:bCs/>
                <w:sz w:val="22"/>
                <w:szCs w:val="22"/>
                <w:lang w:eastAsia="en-AU"/>
              </w:rPr>
              <w:t>.</w:t>
            </w:r>
          </w:p>
        </w:tc>
      </w:tr>
      <w:tr w:rsidR="00EA5765" w:rsidRPr="009A53E7" w14:paraId="425AAA82" w14:textId="77777777" w:rsidTr="00EA5765">
        <w:tc>
          <w:tcPr>
            <w:tcW w:w="9356" w:type="dxa"/>
          </w:tcPr>
          <w:p w14:paraId="7D33AC01" w14:textId="77777777" w:rsidR="00EA5765" w:rsidRPr="009A53E7" w:rsidRDefault="00EA5765" w:rsidP="00F71CDF">
            <w:pPr>
              <w:autoSpaceDE w:val="0"/>
              <w:autoSpaceDN w:val="0"/>
              <w:adjustRightInd w:val="0"/>
              <w:spacing w:before="0" w:line="280" w:lineRule="exact"/>
              <w:contextualSpacing/>
              <w:jc w:val="both"/>
              <w:rPr>
                <w:rFonts w:ascii="Calibri" w:hAnsi="Calibri" w:cs="Arial"/>
                <w:b/>
                <w:bCs/>
                <w:sz w:val="22"/>
                <w:szCs w:val="22"/>
                <w:lang w:eastAsia="en-AU"/>
              </w:rPr>
            </w:pPr>
          </w:p>
        </w:tc>
      </w:tr>
      <w:tr w:rsidR="00EA5765" w:rsidRPr="009A53E7" w14:paraId="215CF601" w14:textId="77777777" w:rsidTr="00EA5765">
        <w:tc>
          <w:tcPr>
            <w:tcW w:w="9356" w:type="dxa"/>
          </w:tcPr>
          <w:p w14:paraId="2B4C18B7" w14:textId="00A9DF90" w:rsidR="00EA5765" w:rsidRPr="009A53E7" w:rsidRDefault="00EA5765" w:rsidP="0070380E">
            <w:pPr>
              <w:spacing w:before="0" w:line="280" w:lineRule="exact"/>
              <w:jc w:val="both"/>
              <w:rPr>
                <w:rFonts w:ascii="Calibri" w:hAnsi="Calibri"/>
                <w:sz w:val="22"/>
                <w:szCs w:val="22"/>
              </w:rPr>
            </w:pPr>
            <w:r w:rsidRPr="00502146">
              <w:rPr>
                <w:rFonts w:ascii="Calibri" w:hAnsi="Calibri"/>
                <w:sz w:val="22"/>
                <w:szCs w:val="22"/>
              </w:rPr>
              <w:t xml:space="preserve">Berdasarkan perjanjian gadai saham antara Pemberi Kuasa dan </w:t>
            </w:r>
            <w:r w:rsidR="003813C3">
              <w:rPr>
                <w:rFonts w:ascii="Calibri" w:hAnsi="Calibri"/>
                <w:sz w:val="22"/>
                <w:szCs w:val="22"/>
              </w:rPr>
              <w:t>PT PKC</w:t>
            </w:r>
            <w:r w:rsidRPr="00502146">
              <w:rPr>
                <w:rFonts w:ascii="Calibri" w:hAnsi="Calibri"/>
                <w:sz w:val="22"/>
                <w:szCs w:val="22"/>
              </w:rPr>
              <w:t xml:space="preserve"> </w:t>
            </w:r>
            <w:r>
              <w:rPr>
                <w:rFonts w:ascii="Calibri" w:hAnsi="Calibri"/>
                <w:sz w:val="22"/>
                <w:szCs w:val="22"/>
              </w:rPr>
              <w:t>tertanggal pada</w:t>
            </w:r>
            <w:r w:rsidRPr="00502146">
              <w:rPr>
                <w:rFonts w:ascii="Calibri" w:hAnsi="Calibri"/>
                <w:sz w:val="22"/>
                <w:szCs w:val="22"/>
              </w:rPr>
              <w:t xml:space="preserve"> </w:t>
            </w:r>
            <w:r>
              <w:rPr>
                <w:rFonts w:ascii="Calibri" w:hAnsi="Calibri"/>
                <w:sz w:val="22"/>
                <w:szCs w:val="22"/>
              </w:rPr>
              <w:t xml:space="preserve">atau sekitar tanggal </w:t>
            </w:r>
            <w:r w:rsidRPr="00502146">
              <w:rPr>
                <w:rFonts w:ascii="Calibri" w:hAnsi="Calibri"/>
                <w:sz w:val="22"/>
                <w:szCs w:val="22"/>
              </w:rPr>
              <w:t>Surat Kuasa ini (“</w:t>
            </w:r>
            <w:r w:rsidRPr="00A801A2">
              <w:rPr>
                <w:rFonts w:ascii="Calibri" w:hAnsi="Calibri"/>
                <w:b/>
                <w:bCs/>
                <w:sz w:val="22"/>
                <w:szCs w:val="22"/>
              </w:rPr>
              <w:t>Perjanjian Gadai Saham</w:t>
            </w:r>
            <w:r w:rsidRPr="00502146">
              <w:rPr>
                <w:rFonts w:ascii="Calibri" w:hAnsi="Calibri"/>
                <w:sz w:val="22"/>
                <w:szCs w:val="22"/>
              </w:rPr>
              <w:t xml:space="preserve">”), Pemberi Kuasa merupakan pemilik yang sah dan pemberi gadai atas </w:t>
            </w:r>
            <w:r w:rsidR="00054AA7">
              <w:rPr>
                <w:rFonts w:ascii="Calibri" w:hAnsi="Calibri" w:cs="Arial"/>
                <w:iCs/>
                <w:sz w:val="22"/>
                <w:szCs w:val="22"/>
              </w:rPr>
              <w:t>490</w:t>
            </w:r>
            <w:r w:rsidRPr="005C2980">
              <w:rPr>
                <w:rFonts w:ascii="Calibri" w:hAnsi="Calibri" w:cs="Arial"/>
                <w:iCs/>
                <w:sz w:val="22"/>
                <w:szCs w:val="22"/>
              </w:rPr>
              <w:t xml:space="preserve"> (</w:t>
            </w:r>
            <w:r w:rsidR="00054AA7">
              <w:rPr>
                <w:rFonts w:ascii="Calibri" w:hAnsi="Calibri" w:cs="Arial"/>
                <w:iCs/>
                <w:sz w:val="22"/>
                <w:szCs w:val="22"/>
              </w:rPr>
              <w:t xml:space="preserve">empat </w:t>
            </w:r>
            <w:r w:rsidR="00890ABA">
              <w:rPr>
                <w:rFonts w:ascii="Calibri" w:hAnsi="Calibri" w:cs="Arial"/>
                <w:iCs/>
                <w:sz w:val="22"/>
                <w:szCs w:val="22"/>
              </w:rPr>
              <w:t xml:space="preserve">ratus sembilan </w:t>
            </w:r>
            <w:r w:rsidRPr="00890ABA" w:rsidDel="00890ABA">
              <w:rPr>
                <w:rFonts w:ascii="Calibri" w:hAnsi="Calibri" w:cs="Arial"/>
                <w:iCs/>
                <w:sz w:val="22"/>
                <w:szCs w:val="22"/>
              </w:rPr>
              <w:t>puluh</w:t>
            </w:r>
            <w:r w:rsidRPr="005C2980">
              <w:rPr>
                <w:rFonts w:ascii="Calibri" w:hAnsi="Calibri" w:cs="Arial"/>
                <w:iCs/>
                <w:sz w:val="22"/>
                <w:szCs w:val="22"/>
              </w:rPr>
              <w:t>)</w:t>
            </w:r>
            <w:r>
              <w:rPr>
                <w:rFonts w:ascii="Calibri" w:hAnsi="Calibri" w:cs="Arial"/>
                <w:iCs/>
                <w:sz w:val="22"/>
                <w:szCs w:val="22"/>
              </w:rPr>
              <w:t xml:space="preserve"> </w:t>
            </w:r>
            <w:r w:rsidRPr="00502146">
              <w:rPr>
                <w:rFonts w:ascii="Calibri" w:hAnsi="Calibri"/>
                <w:sz w:val="22"/>
                <w:szCs w:val="22"/>
              </w:rPr>
              <w:t xml:space="preserve">saham terdaftar dengan nilai nominal sebesar </w:t>
            </w:r>
            <w:r w:rsidR="00054AA7" w:rsidRPr="00502146">
              <w:rPr>
                <w:rFonts w:ascii="Calibri" w:hAnsi="Calibri"/>
                <w:sz w:val="22"/>
                <w:szCs w:val="22"/>
              </w:rPr>
              <w:t>Rp</w:t>
            </w:r>
            <w:r w:rsidR="00054AA7">
              <w:rPr>
                <w:rFonts w:ascii="Calibri" w:hAnsi="Calibri"/>
                <w:sz w:val="22"/>
                <w:szCs w:val="22"/>
              </w:rPr>
              <w:t>49</w:t>
            </w:r>
            <w:r>
              <w:rPr>
                <w:rFonts w:ascii="Calibri" w:hAnsi="Calibri"/>
                <w:sz w:val="22"/>
                <w:szCs w:val="22"/>
              </w:rPr>
              <w:t>.00</w:t>
            </w:r>
            <w:r w:rsidRPr="00502146">
              <w:rPr>
                <w:rFonts w:ascii="Calibri" w:hAnsi="Calibri"/>
                <w:sz w:val="22"/>
                <w:szCs w:val="22"/>
              </w:rPr>
              <w:t>0.000 (</w:t>
            </w:r>
            <w:r w:rsidR="00054AA7">
              <w:rPr>
                <w:rFonts w:ascii="Calibri" w:hAnsi="Calibri"/>
                <w:sz w:val="22"/>
                <w:szCs w:val="22"/>
              </w:rPr>
              <w:t>empat</w:t>
            </w:r>
            <w:r w:rsidR="00054AA7" w:rsidRPr="00FC7A16">
              <w:rPr>
                <w:rFonts w:ascii="Calibri" w:hAnsi="Calibri"/>
                <w:sz w:val="22"/>
                <w:szCs w:val="22"/>
              </w:rPr>
              <w:t xml:space="preserve"> </w:t>
            </w:r>
            <w:r w:rsidR="00FC7A16" w:rsidRPr="00FC7A16">
              <w:rPr>
                <w:rFonts w:ascii="Calibri" w:hAnsi="Calibri"/>
                <w:sz w:val="22"/>
                <w:szCs w:val="22"/>
              </w:rPr>
              <w:t>puluh sembilan</w:t>
            </w:r>
            <w:r>
              <w:rPr>
                <w:rFonts w:ascii="Calibri" w:hAnsi="Calibri"/>
                <w:sz w:val="22"/>
                <w:szCs w:val="22"/>
              </w:rPr>
              <w:t xml:space="preserve"> juta</w:t>
            </w:r>
            <w:r w:rsidRPr="00502146">
              <w:rPr>
                <w:rFonts w:ascii="Calibri" w:hAnsi="Calibri"/>
                <w:sz w:val="22"/>
                <w:szCs w:val="22"/>
              </w:rPr>
              <w:t xml:space="preserve"> Rupiah) per saham pada </w:t>
            </w:r>
            <w:r w:rsidRPr="00502146">
              <w:rPr>
                <w:rFonts w:ascii="Calibri" w:hAnsi="Calibri" w:cs="Arial"/>
                <w:b/>
                <w:bCs/>
                <w:sz w:val="22"/>
                <w:szCs w:val="22"/>
                <w:lang w:eastAsia="en-AU"/>
              </w:rPr>
              <w:t xml:space="preserve">PT </w:t>
            </w:r>
            <w:r w:rsidR="00723DCE" w:rsidRPr="00723DCE">
              <w:rPr>
                <w:rFonts w:ascii="Calibri" w:hAnsi="Calibri" w:cs="Arial"/>
                <w:b/>
                <w:bCs/>
                <w:sz w:val="22"/>
                <w:szCs w:val="22"/>
                <w:lang w:eastAsia="en-AU"/>
              </w:rPr>
              <w:t>PRIMA DIGITAL EKOSISTEM</w:t>
            </w:r>
            <w:r w:rsidRPr="00502146">
              <w:rPr>
                <w:rFonts w:ascii="Calibri" w:hAnsi="Calibri"/>
                <w:sz w:val="22"/>
                <w:szCs w:val="22"/>
              </w:rPr>
              <w:t xml:space="preserve">, suatu perseroan terbatas yang didirikan berdasarkan hukum Republik Indonesia, </w:t>
            </w:r>
            <w:r>
              <w:rPr>
                <w:rFonts w:ascii="Calibri" w:hAnsi="Calibri"/>
                <w:sz w:val="22"/>
                <w:szCs w:val="22"/>
              </w:rPr>
              <w:t>berkantor</w:t>
            </w:r>
            <w:r w:rsidRPr="00502146">
              <w:rPr>
                <w:rFonts w:ascii="Calibri" w:hAnsi="Calibri"/>
                <w:sz w:val="22"/>
                <w:szCs w:val="22"/>
              </w:rPr>
              <w:t xml:space="preserve"> di </w:t>
            </w:r>
            <w:r w:rsidR="00723DCE">
              <w:rPr>
                <w:rFonts w:ascii="Calibri" w:hAnsi="Calibri"/>
                <w:sz w:val="22"/>
                <w:szCs w:val="22"/>
              </w:rPr>
              <w:t>[</w:t>
            </w:r>
            <w:r w:rsidR="00723DCE" w:rsidRPr="00054AA7">
              <w:rPr>
                <w:rFonts w:ascii="Calibri" w:hAnsi="Calibri"/>
                <w:sz w:val="22"/>
                <w:szCs w:val="22"/>
                <w:highlight w:val="yellow"/>
              </w:rPr>
              <w:t>*</w:t>
            </w:r>
            <w:r w:rsidR="00723DCE">
              <w:rPr>
                <w:rFonts w:ascii="Calibri" w:hAnsi="Calibri"/>
                <w:sz w:val="22"/>
                <w:szCs w:val="22"/>
              </w:rPr>
              <w:t>]</w:t>
            </w:r>
            <w:r w:rsidRPr="00502146">
              <w:rPr>
                <w:rFonts w:ascii="Calibri" w:hAnsi="Calibri"/>
                <w:sz w:val="22"/>
                <w:szCs w:val="22"/>
              </w:rPr>
              <w:t>(selanjutnya disebut sebagai “</w:t>
            </w:r>
            <w:r w:rsidRPr="00502146">
              <w:rPr>
                <w:rFonts w:ascii="Calibri" w:hAnsi="Calibri"/>
                <w:b/>
                <w:sz w:val="22"/>
                <w:szCs w:val="22"/>
              </w:rPr>
              <w:t>Perseroan</w:t>
            </w:r>
            <w:r w:rsidRPr="00502146">
              <w:rPr>
                <w:rFonts w:ascii="Calibri" w:hAnsi="Calibri"/>
                <w:sz w:val="22"/>
                <w:szCs w:val="22"/>
              </w:rPr>
              <w:t xml:space="preserve">”). </w:t>
            </w:r>
            <w:r w:rsidR="00054AA7">
              <w:rPr>
                <w:rFonts w:ascii="Calibri" w:hAnsi="Calibri" w:cs="Arial"/>
                <w:iCs/>
                <w:sz w:val="22"/>
                <w:szCs w:val="22"/>
              </w:rPr>
              <w:t>490</w:t>
            </w:r>
            <w:r w:rsidR="00054AA7" w:rsidRPr="005C2980">
              <w:rPr>
                <w:rFonts w:ascii="Calibri" w:hAnsi="Calibri" w:cs="Arial"/>
                <w:iCs/>
                <w:sz w:val="22"/>
                <w:szCs w:val="22"/>
              </w:rPr>
              <w:t xml:space="preserve"> </w:t>
            </w:r>
            <w:r w:rsidRPr="005C2980">
              <w:rPr>
                <w:rFonts w:ascii="Calibri" w:hAnsi="Calibri" w:cs="Arial"/>
                <w:iCs/>
                <w:sz w:val="22"/>
                <w:szCs w:val="22"/>
              </w:rPr>
              <w:t>(</w:t>
            </w:r>
            <w:r w:rsidR="00054AA7">
              <w:rPr>
                <w:rFonts w:ascii="Calibri" w:hAnsi="Calibri" w:cs="Arial"/>
                <w:iCs/>
                <w:sz w:val="22"/>
                <w:szCs w:val="22"/>
              </w:rPr>
              <w:t>empat</w:t>
            </w:r>
            <w:r w:rsidRPr="005C2980" w:rsidDel="00723DCE">
              <w:rPr>
                <w:rFonts w:ascii="Calibri" w:hAnsi="Calibri" w:cs="Arial"/>
                <w:iCs/>
                <w:sz w:val="22"/>
                <w:szCs w:val="22"/>
              </w:rPr>
              <w:t xml:space="preserve"> </w:t>
            </w:r>
            <w:r w:rsidDel="00723DCE">
              <w:rPr>
                <w:rFonts w:ascii="Calibri" w:hAnsi="Calibri" w:cs="Arial"/>
                <w:iCs/>
                <w:sz w:val="22"/>
                <w:szCs w:val="22"/>
              </w:rPr>
              <w:t xml:space="preserve">ratus </w:t>
            </w:r>
            <w:r w:rsidR="00723DCE">
              <w:rPr>
                <w:rFonts w:ascii="Calibri" w:hAnsi="Calibri" w:cs="Arial"/>
                <w:iCs/>
                <w:sz w:val="22"/>
                <w:szCs w:val="22"/>
              </w:rPr>
              <w:t>sembilan</w:t>
            </w:r>
            <w:r w:rsidDel="00723DCE">
              <w:rPr>
                <w:rFonts w:ascii="Calibri" w:hAnsi="Calibri" w:cs="Arial"/>
                <w:iCs/>
                <w:sz w:val="22"/>
                <w:szCs w:val="22"/>
              </w:rPr>
              <w:t xml:space="preserve"> puluh</w:t>
            </w:r>
            <w:r w:rsidRPr="005C2980">
              <w:rPr>
                <w:rFonts w:ascii="Calibri" w:hAnsi="Calibri" w:cs="Arial"/>
                <w:iCs/>
                <w:sz w:val="22"/>
                <w:szCs w:val="22"/>
              </w:rPr>
              <w:t>)</w:t>
            </w:r>
            <w:r w:rsidRPr="00FF5FD4">
              <w:rPr>
                <w:rFonts w:ascii="Calibri" w:hAnsi="Calibri" w:cs="Arial"/>
                <w:bCs/>
                <w:sz w:val="22"/>
                <w:szCs w:val="22"/>
                <w:lang w:eastAsia="en-AU"/>
              </w:rPr>
              <w:t xml:space="preserve"> </w:t>
            </w:r>
            <w:r w:rsidRPr="00FF5FD4">
              <w:rPr>
                <w:rFonts w:ascii="Calibri" w:hAnsi="Calibri"/>
                <w:bCs/>
                <w:sz w:val="22"/>
                <w:szCs w:val="22"/>
              </w:rPr>
              <w:t>saham terdaftar pada Perseroan</w:t>
            </w:r>
            <w:r w:rsidRPr="00502146">
              <w:rPr>
                <w:rFonts w:ascii="Calibri" w:hAnsi="Calibri"/>
                <w:sz w:val="22"/>
                <w:szCs w:val="22"/>
              </w:rPr>
              <w:t xml:space="preserve"> tersebut, mewakili </w:t>
            </w:r>
            <w:r w:rsidR="00EA24D8">
              <w:rPr>
                <w:rFonts w:ascii="Calibri" w:hAnsi="Calibri"/>
                <w:sz w:val="22"/>
                <w:szCs w:val="22"/>
              </w:rPr>
              <w:t>4</w:t>
            </w:r>
            <w:r w:rsidR="00723DCE">
              <w:rPr>
                <w:rFonts w:ascii="Calibri" w:hAnsi="Calibri"/>
                <w:sz w:val="22"/>
                <w:szCs w:val="22"/>
              </w:rPr>
              <w:t>9</w:t>
            </w:r>
            <w:r w:rsidRPr="00502146">
              <w:rPr>
                <w:rFonts w:ascii="Calibri" w:hAnsi="Calibri"/>
                <w:sz w:val="22"/>
                <w:szCs w:val="22"/>
              </w:rPr>
              <w:t>% (</w:t>
            </w:r>
            <w:r w:rsidR="0081151B">
              <w:rPr>
                <w:rFonts w:ascii="Calibri" w:hAnsi="Calibri"/>
                <w:sz w:val="22"/>
                <w:szCs w:val="22"/>
              </w:rPr>
              <w:t>empat</w:t>
            </w:r>
            <w:r w:rsidR="0081151B" w:rsidRPr="00C42537">
              <w:rPr>
                <w:rFonts w:ascii="Calibri" w:hAnsi="Calibri"/>
                <w:sz w:val="22"/>
                <w:szCs w:val="22"/>
              </w:rPr>
              <w:t xml:space="preserve"> </w:t>
            </w:r>
            <w:r w:rsidR="00C42537" w:rsidRPr="00C42537">
              <w:rPr>
                <w:rFonts w:ascii="Calibri" w:hAnsi="Calibri"/>
                <w:sz w:val="22"/>
                <w:szCs w:val="22"/>
              </w:rPr>
              <w:t>puluh sembilan</w:t>
            </w:r>
            <w:r w:rsidRPr="00502146">
              <w:rPr>
                <w:rFonts w:ascii="Calibri" w:hAnsi="Calibri"/>
                <w:sz w:val="22"/>
                <w:szCs w:val="22"/>
              </w:rPr>
              <w:t xml:space="preserve">) dari modal ditempatkan </w:t>
            </w:r>
            <w:r w:rsidR="00247DF4">
              <w:rPr>
                <w:rFonts w:ascii="Calibri" w:hAnsi="Calibri"/>
                <w:sz w:val="22"/>
                <w:szCs w:val="22"/>
              </w:rPr>
              <w:t xml:space="preserve">dan disetor </w:t>
            </w:r>
            <w:r>
              <w:rPr>
                <w:rFonts w:ascii="Calibri" w:hAnsi="Calibri"/>
                <w:sz w:val="22"/>
                <w:szCs w:val="22"/>
              </w:rPr>
              <w:t xml:space="preserve">di </w:t>
            </w:r>
            <w:r w:rsidRPr="00502146">
              <w:rPr>
                <w:rFonts w:ascii="Calibri" w:hAnsi="Calibri"/>
                <w:sz w:val="22"/>
                <w:szCs w:val="22"/>
              </w:rPr>
              <w:t>dalam Perseroan (“</w:t>
            </w:r>
            <w:r w:rsidRPr="00502146">
              <w:rPr>
                <w:rFonts w:ascii="Calibri" w:hAnsi="Calibri"/>
                <w:b/>
                <w:sz w:val="22"/>
                <w:szCs w:val="22"/>
              </w:rPr>
              <w:t>Saham</w:t>
            </w:r>
            <w:r w:rsidRPr="00502146">
              <w:rPr>
                <w:rFonts w:ascii="Calibri" w:hAnsi="Calibri"/>
                <w:sz w:val="22"/>
                <w:szCs w:val="22"/>
              </w:rPr>
              <w:t>”).</w:t>
            </w:r>
          </w:p>
        </w:tc>
      </w:tr>
      <w:tr w:rsidR="00EA5765" w:rsidRPr="009A53E7" w14:paraId="3840DB65" w14:textId="77777777" w:rsidTr="00EA5765">
        <w:tc>
          <w:tcPr>
            <w:tcW w:w="9356" w:type="dxa"/>
          </w:tcPr>
          <w:p w14:paraId="06564FD2" w14:textId="77777777" w:rsidR="00EA5765" w:rsidRPr="009A53E7" w:rsidRDefault="00EA5765" w:rsidP="0070380E">
            <w:pPr>
              <w:spacing w:before="0" w:line="280" w:lineRule="exact"/>
              <w:contextualSpacing/>
              <w:jc w:val="both"/>
              <w:rPr>
                <w:rFonts w:ascii="Calibri" w:hAnsi="Calibri"/>
                <w:sz w:val="22"/>
                <w:szCs w:val="22"/>
              </w:rPr>
            </w:pPr>
          </w:p>
        </w:tc>
      </w:tr>
      <w:tr w:rsidR="00EA5765" w:rsidRPr="009A53E7" w14:paraId="0B158BB0" w14:textId="77777777" w:rsidTr="00EA5765">
        <w:tc>
          <w:tcPr>
            <w:tcW w:w="9356" w:type="dxa"/>
          </w:tcPr>
          <w:p w14:paraId="2B2D7CB2" w14:textId="48153089" w:rsidR="00EA5765" w:rsidRPr="009A53E7" w:rsidRDefault="00EA5765" w:rsidP="0070380E">
            <w:pPr>
              <w:spacing w:before="0" w:line="280" w:lineRule="exact"/>
              <w:jc w:val="both"/>
              <w:rPr>
                <w:rFonts w:ascii="Calibri" w:hAnsi="Calibri"/>
                <w:sz w:val="22"/>
                <w:szCs w:val="22"/>
              </w:rPr>
            </w:pPr>
            <w:r w:rsidRPr="009A53E7">
              <w:rPr>
                <w:rFonts w:ascii="Calibri" w:hAnsi="Calibri"/>
                <w:sz w:val="22"/>
                <w:szCs w:val="22"/>
              </w:rPr>
              <w:t xml:space="preserve">Pemberi Kuasa lebih lanjut menyatakan kepada </w:t>
            </w:r>
            <w:r w:rsidR="003813C3">
              <w:rPr>
                <w:rFonts w:ascii="Calibri" w:hAnsi="Calibri"/>
                <w:sz w:val="22"/>
                <w:szCs w:val="22"/>
              </w:rPr>
              <w:t>PT PKC</w:t>
            </w:r>
            <w:r w:rsidRPr="009A53E7">
              <w:rPr>
                <w:rFonts w:ascii="Calibri" w:hAnsi="Calibri"/>
                <w:sz w:val="22"/>
                <w:szCs w:val="22"/>
              </w:rPr>
              <w:t xml:space="preserve"> bahwa Saham</w:t>
            </w:r>
            <w:r w:rsidRPr="009A53E7" w:rsidDel="00297576">
              <w:rPr>
                <w:rFonts w:ascii="Calibri" w:hAnsi="Calibri"/>
                <w:sz w:val="22"/>
                <w:szCs w:val="22"/>
              </w:rPr>
              <w:t xml:space="preserve"> </w:t>
            </w:r>
            <w:r w:rsidRPr="009A53E7">
              <w:rPr>
                <w:rFonts w:ascii="Calibri" w:hAnsi="Calibri"/>
                <w:sz w:val="22"/>
                <w:szCs w:val="22"/>
              </w:rPr>
              <w:t xml:space="preserve">pada saat ini tidak </w:t>
            </w:r>
            <w:r>
              <w:rPr>
                <w:rFonts w:ascii="Calibri" w:hAnsi="Calibri"/>
                <w:sz w:val="22"/>
                <w:szCs w:val="22"/>
              </w:rPr>
              <w:t>tunduk pada</w:t>
            </w:r>
            <w:r w:rsidRPr="009A53E7">
              <w:rPr>
                <w:rFonts w:ascii="Calibri" w:hAnsi="Calibri"/>
                <w:sz w:val="22"/>
                <w:szCs w:val="22"/>
              </w:rPr>
              <w:t xml:space="preserve"> gadai, hak gadai, </w:t>
            </w:r>
            <w:r>
              <w:rPr>
                <w:rFonts w:ascii="Calibri" w:hAnsi="Calibri"/>
                <w:sz w:val="22"/>
                <w:szCs w:val="22"/>
              </w:rPr>
              <w:t>pembebanan</w:t>
            </w:r>
            <w:r w:rsidRPr="009A53E7">
              <w:rPr>
                <w:rFonts w:ascii="Calibri" w:hAnsi="Calibri"/>
                <w:sz w:val="22"/>
                <w:szCs w:val="22"/>
              </w:rPr>
              <w:t xml:space="preserve">, hak opsi, kontrak penjualan, </w:t>
            </w:r>
            <w:r>
              <w:rPr>
                <w:rFonts w:ascii="Calibri" w:hAnsi="Calibri"/>
                <w:sz w:val="22"/>
                <w:szCs w:val="22"/>
              </w:rPr>
              <w:t xml:space="preserve">surat </w:t>
            </w:r>
            <w:r w:rsidRPr="009A53E7">
              <w:rPr>
                <w:rFonts w:ascii="Calibri" w:hAnsi="Calibri"/>
                <w:sz w:val="22"/>
                <w:szCs w:val="22"/>
              </w:rPr>
              <w:t xml:space="preserve">kuasa atau perjanjian atau </w:t>
            </w:r>
            <w:r>
              <w:rPr>
                <w:rFonts w:ascii="Calibri" w:hAnsi="Calibri"/>
                <w:sz w:val="22"/>
                <w:szCs w:val="22"/>
              </w:rPr>
              <w:t>janji</w:t>
            </w:r>
            <w:r w:rsidRPr="009A53E7">
              <w:rPr>
                <w:rFonts w:ascii="Calibri" w:hAnsi="Calibri"/>
                <w:sz w:val="22"/>
                <w:szCs w:val="22"/>
              </w:rPr>
              <w:t xml:space="preserve"> lain yang dengan cara apapun, mempengaruhi atau membatasi Pemberi Kuasa dalam melaksanakan </w:t>
            </w:r>
            <w:r>
              <w:rPr>
                <w:rFonts w:ascii="Calibri" w:hAnsi="Calibri"/>
                <w:sz w:val="22"/>
                <w:szCs w:val="22"/>
              </w:rPr>
              <w:t>semua haknya</w:t>
            </w:r>
            <w:r w:rsidRPr="009A53E7">
              <w:rPr>
                <w:rFonts w:ascii="Calibri" w:hAnsi="Calibri"/>
                <w:sz w:val="22"/>
                <w:szCs w:val="22"/>
              </w:rPr>
              <w:t xml:space="preserve"> sebagai pemilik Saham selain sesuai dengan </w:t>
            </w:r>
            <w:r>
              <w:rPr>
                <w:rFonts w:ascii="Calibri" w:hAnsi="Calibri"/>
                <w:sz w:val="22"/>
                <w:szCs w:val="22"/>
              </w:rPr>
              <w:t>Perjanjian Gadai Saham</w:t>
            </w:r>
            <w:r w:rsidRPr="009A53E7">
              <w:rPr>
                <w:rFonts w:ascii="Calibri" w:hAnsi="Calibri"/>
                <w:sz w:val="22"/>
                <w:szCs w:val="22"/>
              </w:rPr>
              <w:t xml:space="preserve"> dan perjanjian opsi sehubungan dengan, antara lain, Saham yang dibuat antara Pemberi Kuasa, </w:t>
            </w:r>
            <w:r w:rsidR="003813C3">
              <w:rPr>
                <w:rFonts w:ascii="Calibri" w:hAnsi="Calibri"/>
                <w:sz w:val="22"/>
                <w:szCs w:val="22"/>
              </w:rPr>
              <w:t>PT PKC</w:t>
            </w:r>
            <w:r w:rsidRPr="009A53E7">
              <w:rPr>
                <w:rFonts w:ascii="Calibri" w:hAnsi="Calibri"/>
                <w:sz w:val="22"/>
                <w:szCs w:val="22"/>
              </w:rPr>
              <w:t xml:space="preserve"> dan Perseroan ("</w:t>
            </w:r>
            <w:r w:rsidRPr="009A53E7">
              <w:rPr>
                <w:rFonts w:ascii="Calibri" w:hAnsi="Calibri"/>
                <w:b/>
                <w:sz w:val="22"/>
                <w:szCs w:val="22"/>
              </w:rPr>
              <w:t>Perjanjian Opsi</w:t>
            </w:r>
            <w:r w:rsidRPr="009A53E7">
              <w:rPr>
                <w:rFonts w:ascii="Calibri" w:hAnsi="Calibri"/>
                <w:sz w:val="22"/>
                <w:szCs w:val="22"/>
              </w:rPr>
              <w:t>").</w:t>
            </w:r>
          </w:p>
        </w:tc>
      </w:tr>
      <w:tr w:rsidR="00EA5765" w:rsidRPr="009A53E7" w14:paraId="17252D1D" w14:textId="77777777" w:rsidTr="00EA5765">
        <w:tc>
          <w:tcPr>
            <w:tcW w:w="9356" w:type="dxa"/>
          </w:tcPr>
          <w:p w14:paraId="549C9C4E" w14:textId="77777777" w:rsidR="00EA5765" w:rsidRPr="009A53E7" w:rsidRDefault="00EA5765" w:rsidP="0070380E">
            <w:pPr>
              <w:spacing w:before="0" w:line="280" w:lineRule="exact"/>
              <w:contextualSpacing/>
              <w:jc w:val="both"/>
              <w:rPr>
                <w:rFonts w:ascii="Calibri" w:hAnsi="Calibri"/>
                <w:sz w:val="22"/>
                <w:szCs w:val="22"/>
              </w:rPr>
            </w:pPr>
          </w:p>
        </w:tc>
      </w:tr>
      <w:tr w:rsidR="00EA5765" w:rsidRPr="009A53E7" w14:paraId="3ABBC198" w14:textId="77777777" w:rsidTr="00EA5765">
        <w:tc>
          <w:tcPr>
            <w:tcW w:w="9356" w:type="dxa"/>
          </w:tcPr>
          <w:p w14:paraId="08405DAC" w14:textId="769DAC46" w:rsidR="00EA5765" w:rsidRPr="009A53E7" w:rsidRDefault="00EA5765" w:rsidP="0070380E">
            <w:pPr>
              <w:spacing w:before="0" w:line="280" w:lineRule="exact"/>
              <w:jc w:val="both"/>
              <w:rPr>
                <w:rFonts w:ascii="Calibri" w:hAnsi="Calibri"/>
                <w:sz w:val="22"/>
                <w:szCs w:val="22"/>
              </w:rPr>
            </w:pPr>
            <w:r w:rsidRPr="009A53E7">
              <w:rPr>
                <w:rFonts w:ascii="Calibri" w:hAnsi="Calibri"/>
                <w:sz w:val="22"/>
                <w:szCs w:val="22"/>
              </w:rPr>
              <w:t xml:space="preserve">Pemberi Kuasa dengan ini memberikan kuasa yang tidak dapat ditarik kembali kepada </w:t>
            </w:r>
            <w:r w:rsidR="003813C3">
              <w:rPr>
                <w:rFonts w:ascii="Calibri" w:hAnsi="Calibri"/>
                <w:sz w:val="22"/>
                <w:szCs w:val="22"/>
              </w:rPr>
              <w:t>PT PKC</w:t>
            </w:r>
            <w:r w:rsidRPr="009A53E7">
              <w:rPr>
                <w:rFonts w:ascii="Calibri" w:hAnsi="Calibri"/>
                <w:sz w:val="22"/>
                <w:szCs w:val="22"/>
              </w:rPr>
              <w:t xml:space="preserve"> dengan hak substitusi kepada </w:t>
            </w:r>
            <w:r w:rsidR="003813C3">
              <w:rPr>
                <w:rFonts w:ascii="Calibri" w:hAnsi="Calibri"/>
                <w:sz w:val="22"/>
                <w:szCs w:val="22"/>
              </w:rPr>
              <w:t>PT PKC</w:t>
            </w:r>
            <w:r w:rsidRPr="009A53E7">
              <w:rPr>
                <w:rFonts w:ascii="Calibri" w:hAnsi="Calibri"/>
                <w:sz w:val="22"/>
                <w:szCs w:val="22"/>
              </w:rPr>
              <w:t xml:space="preserve"> untuk:</w:t>
            </w:r>
          </w:p>
          <w:p w14:paraId="28564270" w14:textId="77777777" w:rsidR="00EA5765" w:rsidRPr="009A53E7" w:rsidRDefault="00EA5765" w:rsidP="0070380E">
            <w:pPr>
              <w:spacing w:before="0" w:line="280" w:lineRule="exact"/>
              <w:jc w:val="both"/>
              <w:rPr>
                <w:rFonts w:ascii="Calibri" w:hAnsi="Calibri"/>
                <w:sz w:val="22"/>
                <w:szCs w:val="22"/>
              </w:rPr>
            </w:pPr>
          </w:p>
          <w:p w14:paraId="103F89F3" w14:textId="77777777" w:rsidR="00EA5765" w:rsidRPr="009A53E7" w:rsidRDefault="00EA5765" w:rsidP="0070380E">
            <w:pPr>
              <w:pStyle w:val="ListParagraph"/>
              <w:numPr>
                <w:ilvl w:val="0"/>
                <w:numId w:val="3"/>
              </w:numPr>
              <w:spacing w:before="0" w:line="280" w:lineRule="exact"/>
              <w:ind w:left="387" w:hanging="360"/>
              <w:contextualSpacing w:val="0"/>
              <w:jc w:val="both"/>
              <w:rPr>
                <w:rFonts w:ascii="Calibri" w:hAnsi="Calibri"/>
                <w:sz w:val="22"/>
                <w:szCs w:val="22"/>
              </w:rPr>
            </w:pPr>
            <w:r w:rsidRPr="009A53E7">
              <w:rPr>
                <w:rFonts w:ascii="Calibri" w:hAnsi="Calibri"/>
                <w:sz w:val="22"/>
                <w:szCs w:val="22"/>
              </w:rPr>
              <w:t xml:space="preserve">menghadiri setiap dan seluruh rapat umum pemegang saham Perseroan; </w:t>
            </w:r>
          </w:p>
          <w:p w14:paraId="709BD8C9" w14:textId="77777777" w:rsidR="00EA5765" w:rsidRPr="009A53E7" w:rsidRDefault="00EA5765" w:rsidP="0070380E">
            <w:pPr>
              <w:spacing w:before="0" w:line="280" w:lineRule="exact"/>
              <w:ind w:left="360" w:hanging="360"/>
              <w:jc w:val="both"/>
              <w:rPr>
                <w:rFonts w:ascii="Calibri" w:hAnsi="Calibri"/>
                <w:sz w:val="22"/>
                <w:szCs w:val="22"/>
              </w:rPr>
            </w:pPr>
          </w:p>
          <w:p w14:paraId="25D888FD" w14:textId="19E6EF72" w:rsidR="00EA5765" w:rsidRPr="009A53E7" w:rsidRDefault="00EA5765" w:rsidP="0070380E">
            <w:pPr>
              <w:pStyle w:val="ListParagraph"/>
              <w:numPr>
                <w:ilvl w:val="0"/>
                <w:numId w:val="3"/>
              </w:numPr>
              <w:spacing w:before="0" w:line="280" w:lineRule="exact"/>
              <w:ind w:left="360" w:hanging="360"/>
              <w:contextualSpacing w:val="0"/>
              <w:jc w:val="both"/>
              <w:rPr>
                <w:rFonts w:ascii="Calibri" w:hAnsi="Calibri"/>
                <w:sz w:val="22"/>
                <w:szCs w:val="22"/>
              </w:rPr>
            </w:pPr>
            <w:r w:rsidRPr="009A53E7">
              <w:rPr>
                <w:rFonts w:ascii="Calibri" w:hAnsi="Calibri"/>
                <w:sz w:val="22"/>
                <w:szCs w:val="22"/>
              </w:rPr>
              <w:t xml:space="preserve">mengeluarkan suara atas Saham dalam rapat tersebut di atas sesuai dengan tindakan yang di anggap tepat dan layak oleh </w:t>
            </w:r>
            <w:r w:rsidR="003813C3">
              <w:rPr>
                <w:rFonts w:ascii="Calibri" w:hAnsi="Calibri"/>
                <w:sz w:val="22"/>
                <w:szCs w:val="22"/>
              </w:rPr>
              <w:t>PT PKC</w:t>
            </w:r>
            <w:r w:rsidRPr="009A53E7">
              <w:rPr>
                <w:rFonts w:ascii="Calibri" w:hAnsi="Calibri"/>
                <w:sz w:val="22"/>
                <w:szCs w:val="22"/>
              </w:rPr>
              <w:t>;</w:t>
            </w:r>
          </w:p>
          <w:p w14:paraId="7F0C1006" w14:textId="77777777" w:rsidR="00EA5765" w:rsidRPr="009A53E7" w:rsidRDefault="00EA5765" w:rsidP="0070380E">
            <w:pPr>
              <w:spacing w:before="0" w:line="280" w:lineRule="exact"/>
              <w:ind w:left="360" w:hanging="360"/>
              <w:jc w:val="both"/>
              <w:rPr>
                <w:rFonts w:ascii="Calibri" w:hAnsi="Calibri"/>
                <w:sz w:val="22"/>
                <w:szCs w:val="22"/>
              </w:rPr>
            </w:pPr>
          </w:p>
          <w:p w14:paraId="0CCFA647" w14:textId="77777777" w:rsidR="00EA5765" w:rsidRPr="009A53E7" w:rsidRDefault="00EA5765" w:rsidP="0070380E">
            <w:pPr>
              <w:pStyle w:val="ListParagraph"/>
              <w:numPr>
                <w:ilvl w:val="0"/>
                <w:numId w:val="3"/>
              </w:numPr>
              <w:spacing w:before="0" w:line="280" w:lineRule="exact"/>
              <w:ind w:left="360" w:hanging="360"/>
              <w:contextualSpacing w:val="0"/>
              <w:jc w:val="both"/>
              <w:rPr>
                <w:rFonts w:ascii="Calibri" w:hAnsi="Calibri"/>
                <w:sz w:val="22"/>
                <w:szCs w:val="22"/>
              </w:rPr>
            </w:pPr>
            <w:r w:rsidRPr="009A53E7">
              <w:rPr>
                <w:rFonts w:ascii="Calibri" w:hAnsi="Calibri"/>
                <w:sz w:val="22"/>
                <w:szCs w:val="22"/>
              </w:rPr>
              <w:t>memberikan persetujuan pemegang saham melalui keputusan tertulis pemegang saham (atau sebaliknya) sebagai pengganti rapat umum pemegang saham Perseroan;</w:t>
            </w:r>
          </w:p>
          <w:p w14:paraId="152A9B15" w14:textId="77777777" w:rsidR="00EA5765" w:rsidRPr="009A53E7" w:rsidRDefault="00EA5765" w:rsidP="0070380E">
            <w:pPr>
              <w:spacing w:before="0" w:line="280" w:lineRule="exact"/>
              <w:ind w:left="360" w:hanging="360"/>
              <w:jc w:val="both"/>
              <w:rPr>
                <w:rFonts w:ascii="Calibri" w:hAnsi="Calibri"/>
                <w:sz w:val="22"/>
                <w:szCs w:val="22"/>
              </w:rPr>
            </w:pPr>
          </w:p>
          <w:p w14:paraId="1E8C2B54" w14:textId="77777777" w:rsidR="00EA5765" w:rsidRPr="009A53E7" w:rsidRDefault="00EA5765" w:rsidP="0070380E">
            <w:pPr>
              <w:pStyle w:val="ListParagraph"/>
              <w:numPr>
                <w:ilvl w:val="0"/>
                <w:numId w:val="3"/>
              </w:numPr>
              <w:spacing w:before="0" w:line="280" w:lineRule="exact"/>
              <w:ind w:left="360" w:hanging="360"/>
              <w:contextualSpacing w:val="0"/>
              <w:jc w:val="both"/>
              <w:rPr>
                <w:rFonts w:ascii="Calibri" w:hAnsi="Calibri"/>
                <w:sz w:val="22"/>
                <w:szCs w:val="22"/>
              </w:rPr>
            </w:pPr>
            <w:r w:rsidRPr="009A53E7">
              <w:rPr>
                <w:rFonts w:ascii="Calibri" w:hAnsi="Calibri"/>
                <w:sz w:val="22"/>
                <w:szCs w:val="22"/>
              </w:rPr>
              <w:t xml:space="preserve">menerima dividen atas Saham; </w:t>
            </w:r>
          </w:p>
          <w:p w14:paraId="0266FFEC" w14:textId="77777777" w:rsidR="00EA5765" w:rsidRPr="009A53E7" w:rsidRDefault="00EA5765" w:rsidP="0070380E">
            <w:pPr>
              <w:spacing w:before="0" w:line="280" w:lineRule="exact"/>
              <w:ind w:left="360" w:hanging="360"/>
              <w:jc w:val="both"/>
              <w:rPr>
                <w:rFonts w:ascii="Calibri" w:hAnsi="Calibri"/>
                <w:sz w:val="22"/>
                <w:szCs w:val="22"/>
              </w:rPr>
            </w:pPr>
          </w:p>
          <w:p w14:paraId="4474C25F" w14:textId="4B7C9F30" w:rsidR="00EA5765" w:rsidRPr="009A53E7" w:rsidRDefault="00EA5765" w:rsidP="0070380E">
            <w:pPr>
              <w:pStyle w:val="ListParagraph"/>
              <w:numPr>
                <w:ilvl w:val="0"/>
                <w:numId w:val="3"/>
              </w:numPr>
              <w:spacing w:before="0" w:line="280" w:lineRule="exact"/>
              <w:ind w:left="360" w:hanging="360"/>
              <w:contextualSpacing w:val="0"/>
              <w:jc w:val="both"/>
              <w:rPr>
                <w:rFonts w:ascii="Calibri" w:hAnsi="Calibri"/>
                <w:sz w:val="22"/>
                <w:szCs w:val="22"/>
              </w:rPr>
            </w:pPr>
            <w:r w:rsidRPr="009A53E7">
              <w:rPr>
                <w:rFonts w:ascii="Calibri" w:hAnsi="Calibri"/>
                <w:sz w:val="22"/>
                <w:szCs w:val="22"/>
              </w:rPr>
              <w:t xml:space="preserve">membayar hasil penjualan Saham manapun dan divided apapun kepada </w:t>
            </w:r>
            <w:r w:rsidR="003813C3">
              <w:rPr>
                <w:rFonts w:ascii="Calibri" w:hAnsi="Calibri"/>
                <w:sz w:val="22"/>
                <w:szCs w:val="22"/>
              </w:rPr>
              <w:t>PT PKC</w:t>
            </w:r>
            <w:r w:rsidRPr="009A53E7">
              <w:rPr>
                <w:rFonts w:ascii="Calibri" w:hAnsi="Calibri"/>
                <w:sz w:val="22"/>
                <w:szCs w:val="22"/>
              </w:rPr>
              <w:t>;</w:t>
            </w:r>
          </w:p>
          <w:p w14:paraId="4E5194D9" w14:textId="77777777" w:rsidR="00EA5765" w:rsidRPr="009A53E7" w:rsidRDefault="00EA5765" w:rsidP="0070380E">
            <w:pPr>
              <w:pStyle w:val="ListParagraph"/>
              <w:spacing w:before="0" w:line="280" w:lineRule="exact"/>
              <w:ind w:left="360"/>
              <w:contextualSpacing w:val="0"/>
              <w:jc w:val="both"/>
              <w:rPr>
                <w:rFonts w:ascii="Calibri" w:hAnsi="Calibri"/>
                <w:sz w:val="22"/>
                <w:szCs w:val="22"/>
              </w:rPr>
            </w:pPr>
          </w:p>
          <w:p w14:paraId="2AC82D9D" w14:textId="06F3C5D0" w:rsidR="00EA5765" w:rsidRPr="009A53E7" w:rsidRDefault="00EA5765" w:rsidP="0070380E">
            <w:pPr>
              <w:pStyle w:val="ListParagraph"/>
              <w:numPr>
                <w:ilvl w:val="0"/>
                <w:numId w:val="3"/>
              </w:numPr>
              <w:spacing w:before="0" w:line="280" w:lineRule="exact"/>
              <w:ind w:left="360" w:hanging="360"/>
              <w:contextualSpacing w:val="0"/>
              <w:jc w:val="both"/>
              <w:rPr>
                <w:rFonts w:ascii="Calibri" w:hAnsi="Calibri"/>
                <w:sz w:val="22"/>
                <w:szCs w:val="22"/>
              </w:rPr>
            </w:pPr>
            <w:r w:rsidRPr="009A53E7">
              <w:rPr>
                <w:rFonts w:ascii="Calibri" w:hAnsi="Calibri"/>
                <w:sz w:val="22"/>
                <w:szCs w:val="22"/>
              </w:rPr>
              <w:lastRenderedPageBreak/>
              <w:t xml:space="preserve">mewakili Pemberi Kuasa dalam setiap dan segala hal tersebut di atas, termasuk namun tidak terbatas pada penandatanganan, penerbitan, penyerahan, atau penerimaan dokumen, formulir dan surat apapun dalam bentuk tertentu, untuk menghadap institusi atau otoritas yang memiliki kompetensi, untuk membuat aplikasi apapun untuk mendapatkan persetujuan pemerintah (apabila diperlukan) atau untuk mengambil tindakan apapun yang mungkin diperlukan berdasarkan hukum dan perundang-undangan di Indonesia atau diperlukan berdasarkan diskresi </w:t>
            </w:r>
            <w:r w:rsidR="003813C3">
              <w:rPr>
                <w:rFonts w:ascii="Calibri" w:hAnsi="Calibri"/>
                <w:sz w:val="22"/>
                <w:szCs w:val="22"/>
              </w:rPr>
              <w:t>PT PKC</w:t>
            </w:r>
            <w:r w:rsidRPr="009A53E7">
              <w:rPr>
                <w:rFonts w:ascii="Calibri" w:hAnsi="Calibri"/>
                <w:sz w:val="22"/>
                <w:szCs w:val="22"/>
              </w:rPr>
              <w:t xml:space="preserve"> sehubungan dengan Surat Kuasa ini;</w:t>
            </w:r>
            <w:r>
              <w:rPr>
                <w:rFonts w:ascii="Calibri" w:hAnsi="Calibri"/>
                <w:sz w:val="22"/>
                <w:szCs w:val="22"/>
              </w:rPr>
              <w:t xml:space="preserve"> dan</w:t>
            </w:r>
          </w:p>
          <w:p w14:paraId="5C8A9F46" w14:textId="77777777" w:rsidR="00EA5765" w:rsidRPr="009A53E7" w:rsidRDefault="00EA5765" w:rsidP="0070380E">
            <w:pPr>
              <w:pStyle w:val="ListParagraph"/>
              <w:spacing w:before="0" w:line="280" w:lineRule="exact"/>
              <w:ind w:left="360"/>
              <w:contextualSpacing w:val="0"/>
              <w:jc w:val="both"/>
              <w:rPr>
                <w:rFonts w:ascii="Calibri" w:hAnsi="Calibri"/>
                <w:sz w:val="22"/>
                <w:szCs w:val="22"/>
              </w:rPr>
            </w:pPr>
          </w:p>
          <w:p w14:paraId="4D0D25F5" w14:textId="77777777" w:rsidR="00EA5765" w:rsidRPr="009A53E7" w:rsidRDefault="00EA5765" w:rsidP="0070380E">
            <w:pPr>
              <w:pStyle w:val="ListParagraph"/>
              <w:numPr>
                <w:ilvl w:val="0"/>
                <w:numId w:val="3"/>
              </w:numPr>
              <w:spacing w:before="0" w:line="280" w:lineRule="exact"/>
              <w:ind w:left="360" w:hanging="360"/>
              <w:contextualSpacing w:val="0"/>
              <w:jc w:val="both"/>
              <w:rPr>
                <w:rFonts w:ascii="Calibri" w:hAnsi="Calibri"/>
                <w:sz w:val="22"/>
                <w:szCs w:val="22"/>
              </w:rPr>
            </w:pPr>
            <w:r w:rsidRPr="009A53E7">
              <w:rPr>
                <w:rFonts w:ascii="Calibri" w:hAnsi="Calibri"/>
                <w:sz w:val="22"/>
                <w:szCs w:val="22"/>
              </w:rPr>
              <w:t>secara umum, melaksanakan seluruh hak atas kepemilikan Saham tanpa pengecualian apapun;</w:t>
            </w:r>
          </w:p>
          <w:p w14:paraId="0C760691" w14:textId="77777777" w:rsidR="00EA5765" w:rsidRDefault="00EA5765" w:rsidP="0070380E">
            <w:pPr>
              <w:spacing w:before="0" w:line="280" w:lineRule="exact"/>
              <w:jc w:val="both"/>
              <w:rPr>
                <w:rFonts w:ascii="Calibri" w:hAnsi="Calibri"/>
                <w:sz w:val="22"/>
                <w:szCs w:val="22"/>
              </w:rPr>
            </w:pPr>
          </w:p>
          <w:p w14:paraId="26E6A4FF" w14:textId="77777777" w:rsidR="00EA5765" w:rsidRPr="009A53E7" w:rsidRDefault="00EA5765" w:rsidP="0070380E">
            <w:pPr>
              <w:spacing w:before="0" w:line="280" w:lineRule="exact"/>
              <w:jc w:val="both"/>
              <w:rPr>
                <w:rFonts w:ascii="Calibri" w:hAnsi="Calibri"/>
                <w:sz w:val="22"/>
                <w:szCs w:val="22"/>
              </w:rPr>
            </w:pPr>
          </w:p>
          <w:p w14:paraId="79548694" w14:textId="67702FF9" w:rsidR="00EA5765" w:rsidRPr="009A53E7" w:rsidRDefault="00EA5765" w:rsidP="0070380E">
            <w:pPr>
              <w:spacing w:before="0" w:line="280" w:lineRule="exact"/>
              <w:jc w:val="both"/>
              <w:rPr>
                <w:rFonts w:ascii="Calibri" w:hAnsi="Calibri"/>
                <w:sz w:val="22"/>
                <w:szCs w:val="22"/>
              </w:rPr>
            </w:pPr>
            <w:r w:rsidRPr="009A53E7">
              <w:rPr>
                <w:rFonts w:ascii="Calibri" w:hAnsi="Calibri"/>
                <w:sz w:val="22"/>
                <w:szCs w:val="22"/>
              </w:rPr>
              <w:t>dengan ketentuan bahwa, kewenangan sebagaimana dijabarkan dalam poin (a) sampai (</w:t>
            </w:r>
            <w:r>
              <w:rPr>
                <w:rFonts w:ascii="Calibri" w:hAnsi="Calibri"/>
                <w:sz w:val="22"/>
                <w:szCs w:val="22"/>
              </w:rPr>
              <w:t>g</w:t>
            </w:r>
            <w:r w:rsidRPr="009A53E7">
              <w:rPr>
                <w:rFonts w:ascii="Calibri" w:hAnsi="Calibri"/>
                <w:sz w:val="22"/>
                <w:szCs w:val="22"/>
              </w:rPr>
              <w:t xml:space="preserve">) di atas hanya dapat dilaksanakan oleh </w:t>
            </w:r>
            <w:r w:rsidR="003813C3">
              <w:rPr>
                <w:rFonts w:ascii="Calibri" w:hAnsi="Calibri"/>
                <w:sz w:val="22"/>
                <w:szCs w:val="22"/>
              </w:rPr>
              <w:t>PT PKC</w:t>
            </w:r>
            <w:r w:rsidRPr="009A53E7">
              <w:rPr>
                <w:rFonts w:ascii="Calibri" w:hAnsi="Calibri"/>
                <w:sz w:val="22"/>
                <w:szCs w:val="22"/>
              </w:rPr>
              <w:t xml:space="preserve"> setelah terjadinya salah satu peristiwa manapun yang dijabarkan dalam Pasal 5 dari </w:t>
            </w:r>
            <w:r w:rsidRPr="005F12EF">
              <w:rPr>
                <w:rFonts w:ascii="Calibri" w:hAnsi="Calibri" w:cs="Calibri"/>
                <w:sz w:val="22"/>
                <w:szCs w:val="22"/>
              </w:rPr>
              <w:t xml:space="preserve">perjanjian pinjaman tertanggal pada atau sekitar tanggal Perjanjian ini </w:t>
            </w:r>
            <w:r>
              <w:rPr>
                <w:rFonts w:ascii="Calibri" w:hAnsi="Calibri" w:cs="Calibri"/>
                <w:sz w:val="22"/>
                <w:szCs w:val="22"/>
              </w:rPr>
              <w:t xml:space="preserve">yang ditandatangani oleh Pemberi Kuasa dan </w:t>
            </w:r>
            <w:r w:rsidR="003813C3">
              <w:rPr>
                <w:rFonts w:ascii="Calibri" w:hAnsi="Calibri" w:cs="Calibri"/>
                <w:sz w:val="22"/>
                <w:szCs w:val="22"/>
              </w:rPr>
              <w:t>PT PKC</w:t>
            </w:r>
            <w:r>
              <w:rPr>
                <w:rFonts w:ascii="Calibri" w:hAnsi="Calibri" w:cs="Calibri"/>
                <w:sz w:val="22"/>
                <w:szCs w:val="22"/>
              </w:rPr>
              <w:t xml:space="preserve"> </w:t>
            </w:r>
            <w:r w:rsidRPr="005F12EF">
              <w:rPr>
                <w:rFonts w:ascii="Calibri" w:hAnsi="Calibri" w:cs="Calibri"/>
                <w:sz w:val="22"/>
                <w:szCs w:val="22"/>
              </w:rPr>
              <w:t>("</w:t>
            </w:r>
            <w:r>
              <w:rPr>
                <w:rFonts w:ascii="Calibri" w:hAnsi="Calibri" w:cs="Calibri"/>
                <w:b/>
                <w:bCs/>
                <w:sz w:val="22"/>
                <w:szCs w:val="22"/>
              </w:rPr>
              <w:t>Perjanjian Pinjaman</w:t>
            </w:r>
            <w:r w:rsidRPr="005F12EF">
              <w:rPr>
                <w:rFonts w:ascii="Calibri" w:hAnsi="Calibri" w:cs="Calibri"/>
                <w:sz w:val="22"/>
                <w:szCs w:val="22"/>
              </w:rPr>
              <w:t>")</w:t>
            </w:r>
            <w:r w:rsidRPr="009A53E7">
              <w:rPr>
                <w:rFonts w:ascii="Calibri" w:hAnsi="Calibri"/>
                <w:sz w:val="22"/>
                <w:szCs w:val="22"/>
              </w:rPr>
              <w:t>.</w:t>
            </w:r>
          </w:p>
        </w:tc>
      </w:tr>
      <w:tr w:rsidR="00EA5765" w:rsidRPr="009A53E7" w14:paraId="79F3A0F2" w14:textId="77777777" w:rsidTr="00EA5765">
        <w:tc>
          <w:tcPr>
            <w:tcW w:w="9356" w:type="dxa"/>
          </w:tcPr>
          <w:p w14:paraId="4FFEB85D" w14:textId="77777777" w:rsidR="00EA5765" w:rsidRPr="009A53E7" w:rsidRDefault="00EA5765" w:rsidP="0070380E">
            <w:pPr>
              <w:spacing w:before="0" w:line="280" w:lineRule="exact"/>
              <w:contextualSpacing/>
              <w:jc w:val="both"/>
              <w:rPr>
                <w:rFonts w:ascii="Calibri" w:hAnsi="Calibri"/>
                <w:sz w:val="22"/>
                <w:szCs w:val="22"/>
              </w:rPr>
            </w:pPr>
          </w:p>
        </w:tc>
      </w:tr>
      <w:tr w:rsidR="00EA5765" w:rsidRPr="009A53E7" w14:paraId="3FCBE8F1" w14:textId="77777777" w:rsidTr="00EA5765">
        <w:tc>
          <w:tcPr>
            <w:tcW w:w="9356" w:type="dxa"/>
          </w:tcPr>
          <w:p w14:paraId="127269F7" w14:textId="77777777" w:rsidR="00EA5765" w:rsidRPr="009A53E7" w:rsidRDefault="00EA5765" w:rsidP="0070380E">
            <w:pPr>
              <w:spacing w:before="0" w:line="280" w:lineRule="exact"/>
              <w:jc w:val="both"/>
              <w:rPr>
                <w:rFonts w:ascii="Calibri" w:hAnsi="Calibri"/>
                <w:sz w:val="22"/>
                <w:szCs w:val="22"/>
              </w:rPr>
            </w:pPr>
            <w:r w:rsidRPr="009A53E7">
              <w:rPr>
                <w:rFonts w:ascii="Calibri" w:hAnsi="Calibri"/>
                <w:sz w:val="22"/>
                <w:szCs w:val="22"/>
              </w:rPr>
              <w:t>Pemberian kuasa berdasarkan Surat Kuasa ini tunduk pada ketentuan-ketentuan berikut:</w:t>
            </w:r>
          </w:p>
          <w:p w14:paraId="4A57DA8F" w14:textId="77777777" w:rsidR="00EA5765" w:rsidRPr="009A53E7" w:rsidRDefault="00EA5765" w:rsidP="0070380E">
            <w:pPr>
              <w:spacing w:before="0" w:line="280" w:lineRule="exact"/>
              <w:jc w:val="both"/>
              <w:rPr>
                <w:rFonts w:ascii="Calibri" w:hAnsi="Calibri"/>
                <w:sz w:val="22"/>
                <w:szCs w:val="22"/>
              </w:rPr>
            </w:pPr>
          </w:p>
          <w:p w14:paraId="276871C6" w14:textId="1EAC884F" w:rsidR="00EA5765" w:rsidRPr="009A53E7" w:rsidRDefault="00EA5765" w:rsidP="0070380E">
            <w:pPr>
              <w:numPr>
                <w:ilvl w:val="0"/>
                <w:numId w:val="5"/>
              </w:numPr>
              <w:spacing w:before="0" w:line="280" w:lineRule="exact"/>
              <w:ind w:left="325" w:hanging="325"/>
              <w:jc w:val="both"/>
              <w:rPr>
                <w:rFonts w:ascii="Calibri" w:hAnsi="Calibri"/>
                <w:sz w:val="22"/>
                <w:szCs w:val="22"/>
              </w:rPr>
            </w:pPr>
            <w:r w:rsidRPr="009A53E7">
              <w:rPr>
                <w:rFonts w:ascii="Calibri" w:hAnsi="Calibri"/>
                <w:sz w:val="22"/>
                <w:szCs w:val="22"/>
              </w:rPr>
              <w:t xml:space="preserve">Pemberi Kuasa dengan ini secara tanpa syarat mengesahkan dan menegaskan setiap dan seluruh tindakan yang dilakukan berdasarkan Surat Kuasa ini oleh </w:t>
            </w:r>
            <w:r w:rsidR="003813C3">
              <w:rPr>
                <w:rFonts w:ascii="Calibri" w:hAnsi="Calibri"/>
                <w:sz w:val="22"/>
                <w:szCs w:val="22"/>
              </w:rPr>
              <w:t>PT PKC</w:t>
            </w:r>
            <w:r w:rsidRPr="009A53E7">
              <w:rPr>
                <w:rFonts w:ascii="Calibri" w:hAnsi="Calibri"/>
                <w:sz w:val="22"/>
                <w:szCs w:val="22"/>
              </w:rPr>
              <w:t xml:space="preserve"> dalam lingkup kewenangan yang diberikan berdasarkan Surat Kuasa ini. Pemberi Kuasa dengan ini lebih lanjut menyetujui bahwa tidak ada orang yang akan menimbulkan kewajiban apapun terhadap Pemberi Kuasa, atau perusahaan-perusahaan yang terkait dengan transaksi ini, karena alasan pengakuan oleh orang tersebut atas kewenangan yang diberikan berdasarkan Surat Kuasa ini kepada </w:t>
            </w:r>
            <w:r w:rsidR="003813C3">
              <w:rPr>
                <w:rFonts w:ascii="Calibri" w:hAnsi="Calibri"/>
                <w:sz w:val="22"/>
                <w:szCs w:val="22"/>
              </w:rPr>
              <w:t>PT PKC</w:t>
            </w:r>
            <w:r w:rsidRPr="009A53E7">
              <w:rPr>
                <w:rFonts w:ascii="Calibri" w:hAnsi="Calibri"/>
                <w:sz w:val="22"/>
                <w:szCs w:val="22"/>
              </w:rPr>
              <w:t xml:space="preserve"> dan Pemberi Kuasa akan menjamin dan mengganti kerugian orang tersebut terhadap setiap tindakan </w:t>
            </w:r>
            <w:r w:rsidR="003813C3">
              <w:rPr>
                <w:rFonts w:ascii="Calibri" w:hAnsi="Calibri"/>
                <w:sz w:val="22"/>
                <w:szCs w:val="22"/>
              </w:rPr>
              <w:t>PT PKC</w:t>
            </w:r>
            <w:r w:rsidRPr="009A53E7">
              <w:rPr>
                <w:rFonts w:ascii="Calibri" w:hAnsi="Calibri"/>
                <w:sz w:val="22"/>
                <w:szCs w:val="22"/>
              </w:rPr>
              <w:t xml:space="preserve"> yang salah atau melanggar hukum;</w:t>
            </w:r>
          </w:p>
          <w:p w14:paraId="6CE179E4" w14:textId="77777777" w:rsidR="00EA5765" w:rsidRPr="009A53E7" w:rsidRDefault="00EA5765" w:rsidP="0070380E">
            <w:pPr>
              <w:spacing w:before="0" w:line="280" w:lineRule="exact"/>
              <w:jc w:val="both"/>
              <w:rPr>
                <w:rFonts w:ascii="Calibri" w:hAnsi="Calibri"/>
                <w:sz w:val="22"/>
                <w:szCs w:val="22"/>
              </w:rPr>
            </w:pPr>
          </w:p>
          <w:p w14:paraId="210E0C2D" w14:textId="77777777" w:rsidR="00EA5765" w:rsidRPr="009A53E7" w:rsidRDefault="00EA5765" w:rsidP="0070380E">
            <w:pPr>
              <w:numPr>
                <w:ilvl w:val="0"/>
                <w:numId w:val="5"/>
              </w:numPr>
              <w:spacing w:before="0" w:line="280" w:lineRule="exact"/>
              <w:ind w:left="325" w:hanging="325"/>
              <w:jc w:val="both"/>
              <w:rPr>
                <w:rFonts w:ascii="Calibri" w:hAnsi="Calibri"/>
                <w:sz w:val="22"/>
                <w:szCs w:val="22"/>
              </w:rPr>
            </w:pPr>
            <w:r w:rsidRPr="009A53E7">
              <w:rPr>
                <w:rFonts w:ascii="Calibri" w:hAnsi="Calibri"/>
                <w:sz w:val="22"/>
                <w:szCs w:val="22"/>
              </w:rPr>
              <w:t xml:space="preserve">Surat Kuasa ini merupakan merupakan satu kesatuan dengan </w:t>
            </w:r>
            <w:r>
              <w:rPr>
                <w:rFonts w:ascii="Calibri" w:hAnsi="Calibri"/>
                <w:sz w:val="22"/>
                <w:szCs w:val="22"/>
              </w:rPr>
              <w:t>Perjanjian Gadai Saham</w:t>
            </w:r>
            <w:r w:rsidRPr="009A53E7">
              <w:rPr>
                <w:rFonts w:ascii="Calibri" w:hAnsi="Calibri"/>
                <w:sz w:val="22"/>
                <w:szCs w:val="22"/>
              </w:rPr>
              <w:t xml:space="preserve"> dan secara tegas dimaksudkan untuk tidak dapat dibatalkan dan, oleh karena itu, tidak akan berakhir karena timbulnya hal-hal sebagaimana disebutkan dalam Pasal 1813, 1814 dan 1816 Kitab Undang-Undang Hukum Perdata, atau karena alasan lain. </w:t>
            </w:r>
          </w:p>
          <w:p w14:paraId="32F5E700" w14:textId="77777777" w:rsidR="00EA5765" w:rsidRPr="009A53E7" w:rsidRDefault="00EA5765" w:rsidP="0070380E">
            <w:pPr>
              <w:spacing w:before="0" w:line="280" w:lineRule="exact"/>
              <w:ind w:left="325" w:hanging="325"/>
              <w:jc w:val="both"/>
              <w:rPr>
                <w:rFonts w:ascii="Calibri" w:hAnsi="Calibri"/>
                <w:sz w:val="22"/>
                <w:szCs w:val="22"/>
              </w:rPr>
            </w:pPr>
          </w:p>
          <w:p w14:paraId="1EABBDE0" w14:textId="1218F7ED" w:rsidR="00EA5765" w:rsidRPr="009A53E7" w:rsidRDefault="00EA5765" w:rsidP="0070380E">
            <w:pPr>
              <w:numPr>
                <w:ilvl w:val="0"/>
                <w:numId w:val="5"/>
              </w:numPr>
              <w:spacing w:before="0" w:line="280" w:lineRule="exact"/>
              <w:ind w:left="325" w:hanging="325"/>
              <w:jc w:val="both"/>
              <w:rPr>
                <w:rFonts w:ascii="Calibri" w:hAnsi="Calibri"/>
                <w:sz w:val="22"/>
                <w:szCs w:val="22"/>
              </w:rPr>
            </w:pPr>
            <w:r w:rsidRPr="009A53E7">
              <w:rPr>
                <w:rFonts w:ascii="Calibri" w:hAnsi="Calibri"/>
                <w:sz w:val="22"/>
                <w:szCs w:val="22"/>
              </w:rPr>
              <w:t xml:space="preserve">Pemberi Kuasa berjanji untuk tidak melaksanakan atau melakukan tindakan-tindakan yang telah dipercayakan kepada </w:t>
            </w:r>
            <w:r w:rsidR="003813C3">
              <w:rPr>
                <w:rFonts w:ascii="Calibri" w:hAnsi="Calibri"/>
                <w:sz w:val="22"/>
                <w:szCs w:val="22"/>
              </w:rPr>
              <w:t>PT PKC</w:t>
            </w:r>
            <w:r w:rsidRPr="009A53E7">
              <w:rPr>
                <w:rFonts w:ascii="Calibri" w:hAnsi="Calibri"/>
                <w:sz w:val="22"/>
                <w:szCs w:val="22"/>
              </w:rPr>
              <w:t xml:space="preserve"> berdasarkan Surat Kuasa ini dan tidak akan melaksanakan tindakan apapun yang dapat merugikan kepentingan-kepentingan </w:t>
            </w:r>
            <w:r w:rsidR="003813C3">
              <w:rPr>
                <w:rFonts w:ascii="Calibri" w:hAnsi="Calibri"/>
                <w:sz w:val="22"/>
                <w:szCs w:val="22"/>
              </w:rPr>
              <w:t>PT PKC</w:t>
            </w:r>
            <w:r w:rsidRPr="009A53E7">
              <w:rPr>
                <w:rFonts w:ascii="Calibri" w:hAnsi="Calibri"/>
                <w:sz w:val="22"/>
                <w:szCs w:val="22"/>
              </w:rPr>
              <w:t xml:space="preserve"> dengan cara apapun dan tidak akan memberikan instruksi atau membuat kesepakatan apapun sehubungan dengan Saham tanpa persetujuan tertulis terlebih dahulu dari </w:t>
            </w:r>
            <w:r w:rsidR="003813C3">
              <w:rPr>
                <w:rFonts w:ascii="Calibri" w:hAnsi="Calibri"/>
                <w:sz w:val="22"/>
                <w:szCs w:val="22"/>
              </w:rPr>
              <w:t>PT PKC</w:t>
            </w:r>
            <w:r w:rsidRPr="009A53E7">
              <w:rPr>
                <w:rFonts w:ascii="Calibri" w:hAnsi="Calibri"/>
                <w:sz w:val="22"/>
                <w:szCs w:val="22"/>
              </w:rPr>
              <w:t>;</w:t>
            </w:r>
          </w:p>
          <w:p w14:paraId="3D9FE9CE" w14:textId="77777777" w:rsidR="00EA5765" w:rsidRPr="009A53E7" w:rsidRDefault="00EA5765" w:rsidP="0070380E">
            <w:pPr>
              <w:spacing w:before="0" w:line="280" w:lineRule="exact"/>
              <w:jc w:val="both"/>
              <w:rPr>
                <w:rFonts w:ascii="Calibri" w:hAnsi="Calibri"/>
                <w:sz w:val="22"/>
                <w:szCs w:val="22"/>
              </w:rPr>
            </w:pPr>
          </w:p>
          <w:p w14:paraId="3AD95CDA" w14:textId="2C143F53" w:rsidR="00EA5765" w:rsidRPr="0099395B" w:rsidRDefault="00EA5765" w:rsidP="0070380E">
            <w:pPr>
              <w:numPr>
                <w:ilvl w:val="0"/>
                <w:numId w:val="5"/>
              </w:numPr>
              <w:spacing w:before="0" w:line="280" w:lineRule="exact"/>
              <w:ind w:left="325" w:hanging="325"/>
              <w:jc w:val="both"/>
              <w:rPr>
                <w:rFonts w:ascii="Calibri" w:hAnsi="Calibri"/>
                <w:sz w:val="22"/>
                <w:szCs w:val="22"/>
              </w:rPr>
            </w:pPr>
            <w:r w:rsidRPr="009A53E7">
              <w:rPr>
                <w:rFonts w:ascii="Calibri" w:hAnsi="Calibri"/>
                <w:sz w:val="22"/>
                <w:szCs w:val="22"/>
              </w:rPr>
              <w:t xml:space="preserve">Surat Kuasa ini berkekuatan penuh dan berlaku terhitung sejak tanggal berlaku efektifnya kepemilikan Saham atas nama Pemberi Kuasa </w:t>
            </w:r>
            <w:r w:rsidR="00C16D14">
              <w:rPr>
                <w:rFonts w:ascii="Calibri" w:hAnsi="Calibri"/>
                <w:sz w:val="22"/>
                <w:szCs w:val="22"/>
              </w:rPr>
              <w:t>yaitu pada tanggal 21 Maret 2024</w:t>
            </w:r>
            <w:r w:rsidR="00C16D14" w:rsidRPr="00617731">
              <w:rPr>
                <w:rFonts w:ascii="Calibri" w:hAnsi="Calibri"/>
                <w:sz w:val="22"/>
                <w:szCs w:val="22"/>
              </w:rPr>
              <w:t xml:space="preserve"> </w:t>
            </w:r>
            <w:r w:rsidRPr="009A53E7">
              <w:rPr>
                <w:rFonts w:ascii="Calibri" w:hAnsi="Calibri"/>
                <w:sz w:val="22"/>
                <w:szCs w:val="22"/>
              </w:rPr>
              <w:t xml:space="preserve">dan akan terus berkekuatan penuh dan berlaku hingga seluruh kewajiban Pemberi Kuasa yang timbul dari </w:t>
            </w:r>
            <w:r w:rsidRPr="005F12EF">
              <w:rPr>
                <w:rFonts w:ascii="Calibri" w:hAnsi="Calibri" w:cs="Calibri"/>
                <w:sz w:val="22"/>
                <w:szCs w:val="22"/>
              </w:rPr>
              <w:t>Perjanjian Pinjaman</w:t>
            </w:r>
            <w:r w:rsidRPr="009A53E7">
              <w:rPr>
                <w:rFonts w:ascii="Calibri" w:hAnsi="Calibri"/>
                <w:sz w:val="22"/>
                <w:szCs w:val="22"/>
              </w:rPr>
              <w:t xml:space="preserve"> telah dipenuhi, dengan ketentuan bahwa kuasa-kuasa yang diberikan dalam Surat Kuasa ini hanya akan berlaku apabila terjadi peristiwa cidera janji berdasarkan </w:t>
            </w:r>
            <w:r w:rsidRPr="005F12EF">
              <w:rPr>
                <w:rFonts w:ascii="Calibri" w:hAnsi="Calibri" w:cs="Calibri"/>
                <w:sz w:val="22"/>
                <w:szCs w:val="22"/>
              </w:rPr>
              <w:t>Perjanjian Pinjaman</w:t>
            </w:r>
            <w:r w:rsidRPr="009A53E7">
              <w:rPr>
                <w:rFonts w:ascii="Calibri" w:hAnsi="Calibri"/>
                <w:sz w:val="22"/>
                <w:szCs w:val="22"/>
              </w:rPr>
              <w:t>.</w:t>
            </w:r>
          </w:p>
        </w:tc>
      </w:tr>
      <w:tr w:rsidR="00EA5765" w:rsidRPr="009A53E7" w14:paraId="7AEAC5BF" w14:textId="77777777" w:rsidTr="00EA5765">
        <w:tc>
          <w:tcPr>
            <w:tcW w:w="9356" w:type="dxa"/>
          </w:tcPr>
          <w:p w14:paraId="0CB445E9" w14:textId="77777777" w:rsidR="00EA5765" w:rsidRPr="009A53E7" w:rsidRDefault="00EA5765" w:rsidP="0070380E">
            <w:pPr>
              <w:autoSpaceDE w:val="0"/>
              <w:autoSpaceDN w:val="0"/>
              <w:adjustRightInd w:val="0"/>
              <w:spacing w:before="0" w:line="280" w:lineRule="exact"/>
              <w:contextualSpacing/>
              <w:jc w:val="both"/>
              <w:rPr>
                <w:rFonts w:ascii="Calibri" w:hAnsi="Calibri"/>
                <w:sz w:val="22"/>
                <w:szCs w:val="22"/>
              </w:rPr>
            </w:pPr>
          </w:p>
        </w:tc>
      </w:tr>
      <w:tr w:rsidR="00EA5765" w:rsidRPr="009A53E7" w14:paraId="1380D199" w14:textId="77777777" w:rsidTr="00EA5765">
        <w:tc>
          <w:tcPr>
            <w:tcW w:w="9356" w:type="dxa"/>
          </w:tcPr>
          <w:p w14:paraId="44267C71" w14:textId="77777777" w:rsidR="00EA5765" w:rsidRPr="009A53E7" w:rsidRDefault="00EA5765" w:rsidP="0070380E">
            <w:pPr>
              <w:spacing w:before="0" w:line="280" w:lineRule="exact"/>
              <w:contextualSpacing/>
              <w:jc w:val="both"/>
              <w:rPr>
                <w:rFonts w:ascii="Calibri" w:hAnsi="Calibri"/>
                <w:sz w:val="22"/>
                <w:szCs w:val="22"/>
              </w:rPr>
            </w:pPr>
          </w:p>
        </w:tc>
      </w:tr>
      <w:tr w:rsidR="00EA5765" w:rsidRPr="009A53E7" w14:paraId="1929D4B4" w14:textId="77777777" w:rsidTr="00EA5765">
        <w:tc>
          <w:tcPr>
            <w:tcW w:w="9356" w:type="dxa"/>
          </w:tcPr>
          <w:p w14:paraId="4FF58631" w14:textId="77777777" w:rsidR="00EA5765" w:rsidRPr="009A53E7" w:rsidRDefault="00EA5765" w:rsidP="0070380E">
            <w:pPr>
              <w:spacing w:before="0" w:line="280" w:lineRule="exact"/>
              <w:jc w:val="both"/>
              <w:rPr>
                <w:rFonts w:ascii="Calibri" w:hAnsi="Calibri"/>
                <w:sz w:val="22"/>
                <w:szCs w:val="22"/>
              </w:rPr>
            </w:pPr>
            <w:r w:rsidRPr="009A53E7">
              <w:rPr>
                <w:rFonts w:ascii="Calibri" w:hAnsi="Calibri"/>
                <w:sz w:val="22"/>
                <w:szCs w:val="22"/>
              </w:rPr>
              <w:lastRenderedPageBreak/>
              <w:t>Jika ada sengketa, perselisihan atau gugatan muncul berdasarkan, dari atau sehubungan dengan Surat Kuasa ini, termasuk setiap pertanyaan mengenai keberadaan, keabsahan atau pembatalannya atau kewajiban non kontraktual yang timbul dari atau sehubungan dengan Surat Kuasa ini ("</w:t>
            </w:r>
            <w:r w:rsidRPr="009A53E7">
              <w:rPr>
                <w:rFonts w:ascii="Calibri" w:hAnsi="Calibri"/>
                <w:b/>
                <w:sz w:val="22"/>
                <w:szCs w:val="22"/>
              </w:rPr>
              <w:t>Sengketa</w:t>
            </w:r>
            <w:r w:rsidRPr="009A53E7">
              <w:rPr>
                <w:rFonts w:ascii="Calibri" w:hAnsi="Calibri"/>
                <w:sz w:val="22"/>
                <w:szCs w:val="22"/>
              </w:rPr>
              <w:t>"), para pihak akan menggunakan semua upaya yang wajar untuk menyelesaikan masalah secara damai. Jika salah satu pihak memberikan pemberitahuan kepada pihak lain bahwa Sengketa telah timbul, para pihak harus berusaha untuk menyelesaikan Sengketa dalam waktu 30 (tiga puluh) hari dari penyampaian pemberitahuan tersebut. Tidak ada pihak yang dapat mengajukan upaya arbitrase terhadap pihak lain berdasarkan Surat Kuasa ini sampai 30 (tiga puluh) hari setelah penyampaian pemberitahuan tersebut.</w:t>
            </w:r>
          </w:p>
        </w:tc>
      </w:tr>
      <w:tr w:rsidR="00EA5765" w:rsidRPr="009A53E7" w14:paraId="2D04D49B" w14:textId="77777777" w:rsidTr="00EA5765">
        <w:tc>
          <w:tcPr>
            <w:tcW w:w="9356" w:type="dxa"/>
          </w:tcPr>
          <w:p w14:paraId="74D1BB21" w14:textId="77777777" w:rsidR="00EA5765" w:rsidRPr="009A53E7" w:rsidRDefault="00EA5765" w:rsidP="0070380E">
            <w:pPr>
              <w:spacing w:before="0" w:line="280" w:lineRule="exact"/>
              <w:contextualSpacing/>
              <w:jc w:val="both"/>
              <w:rPr>
                <w:rFonts w:ascii="Calibri" w:hAnsi="Calibri"/>
                <w:sz w:val="22"/>
                <w:szCs w:val="22"/>
              </w:rPr>
            </w:pPr>
          </w:p>
        </w:tc>
      </w:tr>
      <w:tr w:rsidR="00EA5765" w:rsidRPr="009A53E7" w14:paraId="6346EB95" w14:textId="77777777" w:rsidTr="00EA5765">
        <w:tc>
          <w:tcPr>
            <w:tcW w:w="9356" w:type="dxa"/>
          </w:tcPr>
          <w:p w14:paraId="2D5CFC47" w14:textId="044F0400" w:rsidR="00EA5765" w:rsidRPr="009A53E7" w:rsidRDefault="00EA5765" w:rsidP="0070380E">
            <w:pPr>
              <w:spacing w:before="0" w:line="280" w:lineRule="exact"/>
              <w:contextualSpacing/>
              <w:jc w:val="both"/>
              <w:rPr>
                <w:rFonts w:ascii="Calibri" w:hAnsi="Calibri"/>
                <w:sz w:val="22"/>
                <w:szCs w:val="22"/>
              </w:rPr>
            </w:pPr>
            <w:r w:rsidRPr="009A53E7">
              <w:rPr>
                <w:rFonts w:ascii="Calibri" w:hAnsi="Calibri"/>
                <w:sz w:val="22"/>
                <w:szCs w:val="22"/>
              </w:rPr>
              <w:t xml:space="preserve">Seluruh Sengketa yang tidak terselesaikan menurut ketentuan di atas dan yang mana suatu pihak berkeinginan agar Sengketa tersebut terselesaikan, maka harus disebutkan pada permohonan dari pihak manapun kepada, dan pada akhirnya diselesaikan oleh, arbitrase </w:t>
            </w:r>
            <w:r w:rsidR="006C449B" w:rsidRPr="00451828">
              <w:rPr>
                <w:rFonts w:ascii="Calibri" w:hAnsi="Calibri"/>
                <w:sz w:val="22"/>
                <w:szCs w:val="22"/>
              </w:rPr>
              <w:t>di Badan Arbitrase Nasional Indonesia yang sejak tanggal Perjanjian ini beralamat di Wahana Graha lantai 1 &amp; 2, Jalan Mampang Prapatan No. 2, Jakarta 12760 ("</w:t>
            </w:r>
            <w:r w:rsidR="006C449B" w:rsidRPr="00A637AB">
              <w:rPr>
                <w:rFonts w:ascii="Calibri" w:hAnsi="Calibri"/>
                <w:b/>
                <w:sz w:val="22"/>
                <w:szCs w:val="22"/>
              </w:rPr>
              <w:t>BANI</w:t>
            </w:r>
            <w:r w:rsidR="006C449B" w:rsidRPr="00451828">
              <w:rPr>
                <w:rFonts w:ascii="Calibri" w:hAnsi="Calibri"/>
                <w:sz w:val="22"/>
                <w:szCs w:val="22"/>
              </w:rPr>
              <w:t>"), sesuai dengan peraturan-peraturan arbitrase yang berlaku. Tempat arbitrase adalah di Jakarta, Indonesia, dan bahasa arbitrase adalah Bahasa Indonesia</w:t>
            </w:r>
            <w:r w:rsidRPr="009A53E7">
              <w:rPr>
                <w:rFonts w:ascii="Calibri" w:hAnsi="Calibri"/>
                <w:sz w:val="22"/>
                <w:szCs w:val="22"/>
              </w:rPr>
              <w:t>.</w:t>
            </w:r>
          </w:p>
        </w:tc>
      </w:tr>
      <w:tr w:rsidR="00EA5765" w:rsidRPr="009A53E7" w14:paraId="5849D8E9" w14:textId="77777777" w:rsidTr="00EA5765">
        <w:tc>
          <w:tcPr>
            <w:tcW w:w="9356" w:type="dxa"/>
          </w:tcPr>
          <w:p w14:paraId="32C8B162" w14:textId="77777777" w:rsidR="00EA5765" w:rsidRPr="009A53E7" w:rsidRDefault="00EA5765" w:rsidP="0070380E">
            <w:pPr>
              <w:spacing w:before="0" w:line="280" w:lineRule="exact"/>
              <w:contextualSpacing/>
              <w:jc w:val="both"/>
              <w:rPr>
                <w:rFonts w:ascii="Calibri" w:hAnsi="Calibri"/>
                <w:sz w:val="22"/>
                <w:szCs w:val="22"/>
              </w:rPr>
            </w:pPr>
          </w:p>
        </w:tc>
      </w:tr>
      <w:tr w:rsidR="00EA5765" w:rsidRPr="009A53E7" w14:paraId="1581FEFE" w14:textId="77777777" w:rsidTr="00EA5765">
        <w:tc>
          <w:tcPr>
            <w:tcW w:w="9356" w:type="dxa"/>
          </w:tcPr>
          <w:p w14:paraId="24135A75" w14:textId="77777777" w:rsidR="00EA5765" w:rsidRPr="009A53E7" w:rsidRDefault="00EA5765" w:rsidP="0070380E">
            <w:pPr>
              <w:spacing w:before="0" w:line="280" w:lineRule="exact"/>
              <w:contextualSpacing/>
              <w:jc w:val="both"/>
              <w:rPr>
                <w:rFonts w:ascii="Calibri" w:hAnsi="Calibri"/>
                <w:sz w:val="22"/>
                <w:szCs w:val="22"/>
              </w:rPr>
            </w:pPr>
            <w:r w:rsidRPr="009A53E7">
              <w:rPr>
                <w:rFonts w:ascii="Calibri" w:hAnsi="Calibri"/>
                <w:sz w:val="22"/>
                <w:szCs w:val="22"/>
              </w:rPr>
              <w:t>Para arbiter akan memiliki kekuasaan untuk memberikan setiap putusan atau perintah yang tersedia berdasarkan undang-undang, termasuk perintah kepada pihak untuk tidak melakukan tindakan tertentu (baik sementara dan/atau final) dan perintah kepada pihak untuk melaksanakan tindakan tertentu dan tindakan-tindakan yang diperintahkan oleh para arbiter dapat secara khusus diberlakukan oleh pengadilan yang berwenang. Para pihak juga sepakat bahwa tidak ada pihak yang dapat mengajukan upaya banding ke pengadilan apapun atas putusan atau keputusan para arbiter yang terkandung di dalamnya.</w:t>
            </w:r>
          </w:p>
        </w:tc>
      </w:tr>
      <w:tr w:rsidR="00EA5765" w:rsidRPr="009A53E7" w14:paraId="633F9B20" w14:textId="77777777" w:rsidTr="00EA5765">
        <w:tc>
          <w:tcPr>
            <w:tcW w:w="9356" w:type="dxa"/>
          </w:tcPr>
          <w:p w14:paraId="37200A80" w14:textId="77777777" w:rsidR="00EA5765" w:rsidRPr="009A53E7" w:rsidRDefault="00EA5765" w:rsidP="0070380E">
            <w:pPr>
              <w:spacing w:before="0" w:line="280" w:lineRule="exact"/>
              <w:contextualSpacing/>
              <w:jc w:val="both"/>
              <w:rPr>
                <w:rFonts w:ascii="Calibri" w:hAnsi="Calibri"/>
                <w:sz w:val="22"/>
                <w:szCs w:val="22"/>
              </w:rPr>
            </w:pPr>
          </w:p>
        </w:tc>
      </w:tr>
      <w:tr w:rsidR="00EA5765" w:rsidRPr="009A53E7" w14:paraId="1BA68E61" w14:textId="77777777" w:rsidTr="00EA5765">
        <w:tc>
          <w:tcPr>
            <w:tcW w:w="9356" w:type="dxa"/>
          </w:tcPr>
          <w:p w14:paraId="1A2F1788" w14:textId="4F010226" w:rsidR="00EA5765" w:rsidRPr="009A53E7" w:rsidRDefault="00EA5765" w:rsidP="0070380E">
            <w:pPr>
              <w:spacing w:before="0" w:line="280" w:lineRule="exact"/>
              <w:contextualSpacing/>
              <w:jc w:val="both"/>
              <w:rPr>
                <w:rFonts w:ascii="Calibri" w:hAnsi="Calibri"/>
                <w:sz w:val="22"/>
                <w:szCs w:val="22"/>
              </w:rPr>
            </w:pPr>
            <w:r w:rsidRPr="009A53E7">
              <w:rPr>
                <w:rFonts w:ascii="Calibri" w:hAnsi="Calibri"/>
                <w:sz w:val="22"/>
                <w:szCs w:val="22"/>
              </w:rPr>
              <w:t>Para pihak sepakat bahwa, sesuai dengan Pasal 3 dan Pasal 11</w:t>
            </w:r>
            <w:r w:rsidR="00482982">
              <w:rPr>
                <w:rFonts w:ascii="Calibri" w:hAnsi="Calibri"/>
                <w:sz w:val="22"/>
                <w:szCs w:val="22"/>
              </w:rPr>
              <w:t xml:space="preserve"> ayat </w:t>
            </w:r>
            <w:r w:rsidRPr="009A53E7">
              <w:rPr>
                <w:rFonts w:ascii="Calibri" w:hAnsi="Calibri"/>
                <w:sz w:val="22"/>
                <w:szCs w:val="22"/>
              </w:rPr>
              <w:t>(2) Undang-Undang Nomor 30 Tahun 1999 tentang Arbitrase dan Alternatif Penyelesaian Sengketa ("</w:t>
            </w:r>
            <w:r w:rsidRPr="009A53E7">
              <w:rPr>
                <w:rFonts w:ascii="Calibri" w:hAnsi="Calibri"/>
                <w:b/>
                <w:sz w:val="22"/>
                <w:szCs w:val="22"/>
              </w:rPr>
              <w:t>Undang-Undang Arbitrase</w:t>
            </w:r>
            <w:r w:rsidRPr="009A53E7">
              <w:rPr>
                <w:rFonts w:ascii="Calibri" w:hAnsi="Calibri"/>
                <w:sz w:val="22"/>
                <w:szCs w:val="22"/>
              </w:rPr>
              <w:t>"), tidak ada pihak yang diizinkan untuk melakukan atau mempertahankan tindakan apapun dalam pengadilan sehubungan dengan Sengketa apapun, kecuali untuk pelaksanaan putusan arbitrase yang diberikan sesuai dengan proses yang dilakukan.</w:t>
            </w:r>
            <w:r w:rsidR="00E318C1">
              <w:rPr>
                <w:rFonts w:ascii="Calibri" w:hAnsi="Calibri"/>
                <w:sz w:val="22"/>
                <w:szCs w:val="22"/>
              </w:rPr>
              <w:t xml:space="preserve"> </w:t>
            </w:r>
            <w:r w:rsidR="00E318C1" w:rsidRPr="00B85ABA">
              <w:rPr>
                <w:rFonts w:ascii="Calibri" w:hAnsi="Calibri"/>
                <w:sz w:val="22"/>
                <w:szCs w:val="22"/>
              </w:rPr>
              <w:t xml:space="preserve">Para Pihak </w:t>
            </w:r>
            <w:r w:rsidR="00E318C1">
              <w:rPr>
                <w:rFonts w:ascii="Calibri" w:hAnsi="Calibri"/>
                <w:sz w:val="22"/>
                <w:szCs w:val="22"/>
              </w:rPr>
              <w:t xml:space="preserve">juga </w:t>
            </w:r>
            <w:r w:rsidR="00E318C1" w:rsidRPr="00B85ABA">
              <w:rPr>
                <w:rFonts w:ascii="Calibri" w:hAnsi="Calibri"/>
                <w:sz w:val="22"/>
                <w:szCs w:val="22"/>
              </w:rPr>
              <w:t xml:space="preserve">sepakat untuk mengesampingkan pemberlakuan Pasal 48 ayat (1) </w:t>
            </w:r>
            <w:r w:rsidR="00E318C1" w:rsidRPr="00A656F3">
              <w:rPr>
                <w:rFonts w:ascii="Calibri" w:hAnsi="Calibri" w:cs="Calibri"/>
                <w:sz w:val="22"/>
                <w:szCs w:val="22"/>
              </w:rPr>
              <w:t xml:space="preserve">Undang-Undang </w:t>
            </w:r>
            <w:r w:rsidR="00360795" w:rsidRPr="00A656F3">
              <w:rPr>
                <w:rFonts w:ascii="Calibri" w:hAnsi="Calibri" w:cs="Calibri"/>
                <w:sz w:val="22"/>
                <w:szCs w:val="22"/>
              </w:rPr>
              <w:t>Arbitrase</w:t>
            </w:r>
            <w:r w:rsidR="00E318C1" w:rsidRPr="00B85ABA">
              <w:rPr>
                <w:rFonts w:ascii="Calibri" w:hAnsi="Calibri"/>
                <w:sz w:val="22"/>
                <w:szCs w:val="22"/>
              </w:rPr>
              <w:t xml:space="preserve"> dan sepakat bahwa arbitrase tidak perlu diselesaikan dalam waktu tertentu</w:t>
            </w:r>
            <w:r w:rsidR="00E318C1">
              <w:rPr>
                <w:rFonts w:ascii="Calibri" w:hAnsi="Calibri"/>
                <w:sz w:val="22"/>
                <w:szCs w:val="22"/>
              </w:rPr>
              <w:t>.</w:t>
            </w:r>
          </w:p>
        </w:tc>
      </w:tr>
      <w:tr w:rsidR="00EA5765" w:rsidRPr="009A53E7" w14:paraId="21AC98D2" w14:textId="77777777" w:rsidTr="00EA5765">
        <w:tc>
          <w:tcPr>
            <w:tcW w:w="9356" w:type="dxa"/>
          </w:tcPr>
          <w:p w14:paraId="5FB0EE23" w14:textId="77777777" w:rsidR="00EA5765" w:rsidRPr="009A53E7" w:rsidRDefault="00EA5765" w:rsidP="0070380E">
            <w:pPr>
              <w:spacing w:before="0" w:line="280" w:lineRule="exact"/>
              <w:contextualSpacing/>
              <w:jc w:val="both"/>
              <w:rPr>
                <w:rFonts w:ascii="Calibri" w:hAnsi="Calibri"/>
                <w:sz w:val="22"/>
                <w:szCs w:val="22"/>
              </w:rPr>
            </w:pPr>
          </w:p>
        </w:tc>
      </w:tr>
      <w:tr w:rsidR="00EA5765" w:rsidRPr="009A53E7" w14:paraId="512FFB63" w14:textId="77777777" w:rsidTr="00EA5765">
        <w:tc>
          <w:tcPr>
            <w:tcW w:w="9356" w:type="dxa"/>
          </w:tcPr>
          <w:p w14:paraId="756F7D8A" w14:textId="77777777" w:rsidR="00EA5765" w:rsidRPr="009A53E7" w:rsidRDefault="00EA5765" w:rsidP="0070380E">
            <w:pPr>
              <w:spacing w:before="0" w:line="280" w:lineRule="exact"/>
              <w:contextualSpacing/>
              <w:jc w:val="both"/>
              <w:rPr>
                <w:rFonts w:ascii="Calibri" w:hAnsi="Calibri"/>
                <w:sz w:val="22"/>
                <w:szCs w:val="22"/>
              </w:rPr>
            </w:pPr>
            <w:r w:rsidRPr="009A53E7">
              <w:rPr>
                <w:rFonts w:ascii="Calibri" w:hAnsi="Calibri"/>
                <w:sz w:val="22"/>
                <w:szCs w:val="22"/>
              </w:rPr>
              <w:t>Para pihak dengan tegas sepakat bahwa para arbiter akan semata-mata terikat oleh ketentuan-ketentuan hukum dalam pengambilan keputusan mereka dan tidak membuat putusan berdasarkan prinsip keadilan (</w:t>
            </w:r>
            <w:r w:rsidRPr="009A53E7">
              <w:rPr>
                <w:rFonts w:ascii="Calibri" w:hAnsi="Calibri"/>
                <w:i/>
                <w:sz w:val="22"/>
                <w:szCs w:val="22"/>
              </w:rPr>
              <w:t>ex aequo et bono</w:t>
            </w:r>
            <w:r w:rsidRPr="009A53E7">
              <w:rPr>
                <w:rFonts w:ascii="Calibri" w:hAnsi="Calibri"/>
                <w:sz w:val="22"/>
                <w:szCs w:val="22"/>
              </w:rPr>
              <w:t>) dan pertimbangan lainnya.</w:t>
            </w:r>
          </w:p>
        </w:tc>
      </w:tr>
      <w:tr w:rsidR="00EA5765" w:rsidRPr="009A53E7" w14:paraId="0068D3ED" w14:textId="77777777" w:rsidTr="00EA5765">
        <w:tc>
          <w:tcPr>
            <w:tcW w:w="9356" w:type="dxa"/>
          </w:tcPr>
          <w:p w14:paraId="38CBE04E" w14:textId="77777777" w:rsidR="00EA5765" w:rsidRPr="009A53E7" w:rsidRDefault="00EA5765" w:rsidP="0070380E">
            <w:pPr>
              <w:spacing w:before="0" w:line="280" w:lineRule="exact"/>
              <w:contextualSpacing/>
              <w:jc w:val="both"/>
              <w:rPr>
                <w:rFonts w:ascii="Calibri" w:hAnsi="Calibri"/>
                <w:sz w:val="22"/>
                <w:szCs w:val="22"/>
              </w:rPr>
            </w:pPr>
          </w:p>
        </w:tc>
      </w:tr>
      <w:tr w:rsidR="00EA5765" w:rsidRPr="009A53E7" w14:paraId="45F9C9AE" w14:textId="77777777" w:rsidTr="00EA5765">
        <w:tc>
          <w:tcPr>
            <w:tcW w:w="9356" w:type="dxa"/>
          </w:tcPr>
          <w:p w14:paraId="5096D86E" w14:textId="77777777" w:rsidR="00EA5765" w:rsidRPr="009A53E7" w:rsidRDefault="00EA5765" w:rsidP="0070380E">
            <w:pPr>
              <w:spacing w:before="0" w:line="280" w:lineRule="exact"/>
              <w:contextualSpacing/>
              <w:jc w:val="both"/>
              <w:rPr>
                <w:rFonts w:ascii="Calibri" w:hAnsi="Calibri"/>
                <w:sz w:val="22"/>
                <w:szCs w:val="22"/>
              </w:rPr>
            </w:pPr>
            <w:r w:rsidRPr="002B655E">
              <w:rPr>
                <w:rFonts w:ascii="Calibri" w:hAnsi="Calibri"/>
                <w:sz w:val="22"/>
                <w:szCs w:val="22"/>
              </w:rPr>
              <w:t>Tunduk pada putusan dari para arbiter, seluruh biaya dan pengeluaran yang ditimbulkan sehubungan dengan setiap Sengketa yang merujuk pada arbitrase berdasarkan Surat Kuasa ini harus ditanggung oleh pihak terhadap siapa putusan tersebut dijatuhkan.</w:t>
            </w:r>
          </w:p>
        </w:tc>
      </w:tr>
      <w:tr w:rsidR="00EA5765" w:rsidRPr="009A53E7" w14:paraId="11E1A304" w14:textId="77777777" w:rsidTr="00EA5765">
        <w:tc>
          <w:tcPr>
            <w:tcW w:w="9356" w:type="dxa"/>
          </w:tcPr>
          <w:p w14:paraId="1ABAF8A5" w14:textId="77777777" w:rsidR="00EA5765" w:rsidRPr="009A53E7" w:rsidRDefault="00EA5765" w:rsidP="0070380E">
            <w:pPr>
              <w:spacing w:before="0" w:line="280" w:lineRule="exact"/>
              <w:contextualSpacing/>
              <w:jc w:val="both"/>
              <w:rPr>
                <w:rFonts w:ascii="Calibri" w:hAnsi="Calibri"/>
                <w:sz w:val="22"/>
                <w:szCs w:val="22"/>
                <w:highlight w:val="yellow"/>
              </w:rPr>
            </w:pPr>
          </w:p>
        </w:tc>
      </w:tr>
      <w:tr w:rsidR="00EA5765" w:rsidRPr="009A53E7" w14:paraId="27E0AFB3" w14:textId="77777777" w:rsidTr="00EA5765">
        <w:tc>
          <w:tcPr>
            <w:tcW w:w="9356" w:type="dxa"/>
          </w:tcPr>
          <w:p w14:paraId="18379876" w14:textId="77777777" w:rsidR="00EA5765" w:rsidRPr="009A53E7" w:rsidRDefault="00EA5765" w:rsidP="0070380E">
            <w:pPr>
              <w:spacing w:before="0" w:line="280" w:lineRule="exact"/>
              <w:contextualSpacing/>
              <w:jc w:val="both"/>
              <w:rPr>
                <w:rFonts w:ascii="Calibri" w:hAnsi="Calibri"/>
                <w:b/>
                <w:sz w:val="22"/>
                <w:szCs w:val="22"/>
              </w:rPr>
            </w:pPr>
            <w:r w:rsidRPr="009A53E7">
              <w:rPr>
                <w:rFonts w:ascii="Calibri" w:hAnsi="Calibri"/>
                <w:b/>
                <w:sz w:val="22"/>
                <w:szCs w:val="22"/>
              </w:rPr>
              <w:t>DEMIKIAN</w:t>
            </w:r>
            <w:r w:rsidRPr="009A53E7">
              <w:rPr>
                <w:rFonts w:ascii="Calibri" w:hAnsi="Calibri"/>
                <w:sz w:val="22"/>
                <w:szCs w:val="22"/>
              </w:rPr>
              <w:t>, Surat Kuasa ini dibuat dan ditandatangani oleh para pihak dalam Surat Kuasa ini pada tanggal yang tercantum pada awal Surat Kuasa ini di atas dan dilekatkan dengan materai yang cukup yang dibuat dalam dua salinan, masing-masing salinan memiliki kekuatan hukum yang sama.</w:t>
            </w:r>
          </w:p>
        </w:tc>
      </w:tr>
    </w:tbl>
    <w:p w14:paraId="71C12EC8" w14:textId="77777777" w:rsidR="00F615F4" w:rsidRPr="009A53E7" w:rsidRDefault="00F615F4" w:rsidP="00F71CDF">
      <w:pPr>
        <w:spacing w:before="0" w:line="280" w:lineRule="exact"/>
        <w:contextualSpacing/>
        <w:rPr>
          <w:rFonts w:ascii="Calibri" w:hAnsi="Calibri"/>
          <w:sz w:val="22"/>
          <w:szCs w:val="22"/>
        </w:rPr>
        <w:sectPr w:rsidR="00F615F4" w:rsidRPr="009A53E7" w:rsidSect="00F146BE">
          <w:headerReference w:type="even" r:id="rId10"/>
          <w:headerReference w:type="default" r:id="rId11"/>
          <w:footerReference w:type="even" r:id="rId12"/>
          <w:footerReference w:type="default" r:id="rId13"/>
          <w:headerReference w:type="first" r:id="rId14"/>
          <w:footerReference w:type="first" r:id="rId15"/>
          <w:pgSz w:w="11907" w:h="16839" w:code="9"/>
          <w:pgMar w:top="1701" w:right="1134" w:bottom="1985" w:left="1440" w:header="709" w:footer="567" w:gutter="0"/>
          <w:cols w:space="708"/>
          <w:docGrid w:linePitch="360"/>
        </w:sectPr>
      </w:pPr>
    </w:p>
    <w:tbl>
      <w:tblPr>
        <w:tblW w:w="4786" w:type="dxa"/>
        <w:tblLook w:val="01E0" w:firstRow="1" w:lastRow="1" w:firstColumn="1" w:lastColumn="1" w:noHBand="0" w:noVBand="0"/>
      </w:tblPr>
      <w:tblGrid>
        <w:gridCol w:w="4786"/>
      </w:tblGrid>
      <w:tr w:rsidR="00F615F4" w:rsidRPr="009A53E7" w14:paraId="24E13C73" w14:textId="77777777" w:rsidTr="00F615F4">
        <w:tc>
          <w:tcPr>
            <w:tcW w:w="4786" w:type="dxa"/>
          </w:tcPr>
          <w:p w14:paraId="1B2C96CF" w14:textId="6994157E" w:rsidR="00F615F4" w:rsidRPr="00850539" w:rsidRDefault="00850539" w:rsidP="00F71CDF">
            <w:pPr>
              <w:spacing w:before="0" w:line="280" w:lineRule="exact"/>
              <w:contextualSpacing/>
              <w:jc w:val="both"/>
              <w:rPr>
                <w:rFonts w:ascii="Calibri" w:hAnsi="Calibri" w:cs="Arial"/>
                <w:i/>
                <w:iCs/>
                <w:sz w:val="22"/>
                <w:szCs w:val="22"/>
              </w:rPr>
            </w:pPr>
            <w:r w:rsidRPr="00054AA7">
              <w:rPr>
                <w:rFonts w:ascii="Calibri" w:hAnsi="Calibri" w:cs="Arial"/>
                <w:sz w:val="22"/>
                <w:szCs w:val="22"/>
              </w:rPr>
              <w:lastRenderedPageBreak/>
              <w:t>Pemberi Kuasa</w:t>
            </w:r>
          </w:p>
          <w:p w14:paraId="18A24943" w14:textId="77777777" w:rsidR="00F615F4" w:rsidRPr="009A53E7" w:rsidRDefault="00F615F4" w:rsidP="00F71CDF">
            <w:pPr>
              <w:spacing w:before="0" w:line="280" w:lineRule="exact"/>
              <w:contextualSpacing/>
              <w:jc w:val="both"/>
              <w:rPr>
                <w:rFonts w:ascii="Calibri" w:hAnsi="Calibri" w:cs="Arial"/>
                <w:b/>
                <w:sz w:val="22"/>
                <w:szCs w:val="22"/>
              </w:rPr>
            </w:pPr>
          </w:p>
        </w:tc>
      </w:tr>
      <w:tr w:rsidR="00F615F4" w:rsidRPr="009A53E7" w14:paraId="5954BD16" w14:textId="77777777" w:rsidTr="00F615F4">
        <w:tc>
          <w:tcPr>
            <w:tcW w:w="4786" w:type="dxa"/>
          </w:tcPr>
          <w:p w14:paraId="6FD8C896" w14:textId="77777777" w:rsidR="00F615F4" w:rsidRPr="009A53E7" w:rsidRDefault="00F615F4" w:rsidP="00F71CDF">
            <w:pPr>
              <w:spacing w:before="0" w:line="280" w:lineRule="exact"/>
              <w:contextualSpacing/>
              <w:jc w:val="both"/>
              <w:rPr>
                <w:rFonts w:ascii="Calibri" w:hAnsi="Calibri" w:cs="Arial"/>
                <w:sz w:val="22"/>
                <w:szCs w:val="22"/>
              </w:rPr>
            </w:pPr>
          </w:p>
          <w:p w14:paraId="6A942743" w14:textId="77777777" w:rsidR="00F615F4" w:rsidRDefault="00F615F4" w:rsidP="00F71CDF">
            <w:pPr>
              <w:spacing w:before="0" w:line="280" w:lineRule="exact"/>
              <w:contextualSpacing/>
              <w:jc w:val="both"/>
              <w:rPr>
                <w:rFonts w:ascii="Calibri" w:hAnsi="Calibri" w:cs="Arial"/>
                <w:sz w:val="22"/>
                <w:szCs w:val="22"/>
              </w:rPr>
            </w:pPr>
          </w:p>
          <w:p w14:paraId="50B33072" w14:textId="77777777" w:rsidR="0099395B" w:rsidRPr="009A53E7" w:rsidRDefault="0099395B" w:rsidP="00F71CDF">
            <w:pPr>
              <w:spacing w:before="0" w:line="280" w:lineRule="exact"/>
              <w:contextualSpacing/>
              <w:jc w:val="both"/>
              <w:rPr>
                <w:rFonts w:ascii="Calibri" w:hAnsi="Calibri" w:cs="Arial"/>
                <w:sz w:val="22"/>
                <w:szCs w:val="22"/>
              </w:rPr>
            </w:pPr>
          </w:p>
          <w:p w14:paraId="05566FF7" w14:textId="77777777" w:rsidR="00F615F4" w:rsidRDefault="00F615F4" w:rsidP="00F71CDF">
            <w:pPr>
              <w:spacing w:before="0" w:line="280" w:lineRule="exact"/>
              <w:contextualSpacing/>
              <w:jc w:val="both"/>
              <w:rPr>
                <w:rFonts w:ascii="Calibri" w:hAnsi="Calibri" w:cs="Arial"/>
                <w:sz w:val="22"/>
                <w:szCs w:val="22"/>
              </w:rPr>
            </w:pPr>
          </w:p>
          <w:p w14:paraId="60121572" w14:textId="77777777" w:rsidR="009E40F0" w:rsidRPr="009A53E7" w:rsidRDefault="009E40F0" w:rsidP="00F71CDF">
            <w:pPr>
              <w:spacing w:before="0" w:line="280" w:lineRule="exact"/>
              <w:contextualSpacing/>
              <w:jc w:val="both"/>
              <w:rPr>
                <w:rFonts w:ascii="Calibri" w:hAnsi="Calibri" w:cs="Arial"/>
                <w:sz w:val="22"/>
                <w:szCs w:val="22"/>
              </w:rPr>
            </w:pPr>
          </w:p>
          <w:p w14:paraId="30CD9187" w14:textId="77777777" w:rsidR="00F615F4" w:rsidRPr="009A53E7" w:rsidRDefault="00F615F4" w:rsidP="00F71CDF">
            <w:pPr>
              <w:spacing w:before="0" w:line="280" w:lineRule="exact"/>
              <w:contextualSpacing/>
              <w:jc w:val="both"/>
              <w:rPr>
                <w:rFonts w:ascii="Calibri" w:hAnsi="Calibri" w:cs="Arial"/>
                <w:sz w:val="22"/>
                <w:szCs w:val="22"/>
              </w:rPr>
            </w:pPr>
            <w:r w:rsidRPr="009A53E7">
              <w:rPr>
                <w:rFonts w:ascii="Calibri" w:hAnsi="Calibri" w:cs="Arial"/>
                <w:sz w:val="22"/>
                <w:szCs w:val="22"/>
              </w:rPr>
              <w:t>____________________________________</w:t>
            </w:r>
          </w:p>
        </w:tc>
      </w:tr>
      <w:tr w:rsidR="00F615F4" w:rsidRPr="009A53E7" w14:paraId="0C882852" w14:textId="77777777" w:rsidTr="00F615F4">
        <w:tc>
          <w:tcPr>
            <w:tcW w:w="4786" w:type="dxa"/>
            <w:hideMark/>
          </w:tcPr>
          <w:p w14:paraId="22E6D50D" w14:textId="710973D6" w:rsidR="00F615F4" w:rsidRPr="009A53E7" w:rsidRDefault="00AD0338" w:rsidP="00F71CDF">
            <w:pPr>
              <w:spacing w:before="0" w:line="280" w:lineRule="exact"/>
              <w:contextualSpacing/>
              <w:jc w:val="both"/>
              <w:rPr>
                <w:rFonts w:ascii="Calibri" w:hAnsi="Calibri" w:cs="Arial"/>
                <w:b/>
                <w:sz w:val="22"/>
                <w:szCs w:val="22"/>
              </w:rPr>
            </w:pPr>
            <w:r>
              <w:rPr>
                <w:rFonts w:ascii="Calibri" w:hAnsi="Calibri"/>
                <w:b/>
                <w:sz w:val="22"/>
                <w:szCs w:val="22"/>
              </w:rPr>
              <w:t>JOHAN SATRIA PUTRA</w:t>
            </w:r>
          </w:p>
        </w:tc>
      </w:tr>
      <w:tr w:rsidR="00F615F4" w:rsidRPr="009A53E7" w14:paraId="5D92AE97" w14:textId="77777777" w:rsidTr="00F615F4">
        <w:trPr>
          <w:trHeight w:val="70"/>
        </w:trPr>
        <w:tc>
          <w:tcPr>
            <w:tcW w:w="4786" w:type="dxa"/>
          </w:tcPr>
          <w:p w14:paraId="5E7F8809" w14:textId="77777777" w:rsidR="00F615F4" w:rsidRPr="009A53E7" w:rsidRDefault="00F615F4" w:rsidP="00F71CDF">
            <w:pPr>
              <w:spacing w:before="0" w:line="280" w:lineRule="exact"/>
              <w:contextualSpacing/>
              <w:jc w:val="both"/>
              <w:rPr>
                <w:rFonts w:ascii="Calibri" w:hAnsi="Calibri" w:cs="Arial"/>
                <w:i/>
                <w:sz w:val="22"/>
                <w:szCs w:val="22"/>
              </w:rPr>
            </w:pPr>
          </w:p>
        </w:tc>
      </w:tr>
    </w:tbl>
    <w:p w14:paraId="5F40B138" w14:textId="77777777" w:rsidR="00F615F4" w:rsidRPr="009A53E7" w:rsidRDefault="00F615F4" w:rsidP="00F71CDF">
      <w:pPr>
        <w:spacing w:before="0" w:line="280" w:lineRule="exact"/>
        <w:contextualSpacing/>
        <w:rPr>
          <w:rFonts w:ascii="Calibri" w:hAnsi="Calibri"/>
          <w:sz w:val="22"/>
          <w:szCs w:val="22"/>
        </w:rPr>
      </w:pPr>
    </w:p>
    <w:p w14:paraId="4FDB8D6E" w14:textId="77777777" w:rsidR="00F615F4" w:rsidRPr="009A53E7" w:rsidRDefault="00F615F4" w:rsidP="00F71CDF">
      <w:pPr>
        <w:spacing w:before="0" w:line="280" w:lineRule="exact"/>
        <w:contextualSpacing/>
        <w:rPr>
          <w:rFonts w:ascii="Calibri" w:hAnsi="Calibri"/>
          <w:sz w:val="22"/>
          <w:szCs w:val="22"/>
        </w:rPr>
      </w:pPr>
      <w:r w:rsidRPr="009A53E7">
        <w:rPr>
          <w:rFonts w:ascii="Calibri" w:hAnsi="Calibri"/>
          <w:sz w:val="22"/>
          <w:szCs w:val="22"/>
        </w:rPr>
        <w:br w:type="page"/>
      </w:r>
    </w:p>
    <w:tbl>
      <w:tblPr>
        <w:tblW w:w="9322" w:type="dxa"/>
        <w:tblLook w:val="01E0" w:firstRow="1" w:lastRow="1" w:firstColumn="1" w:lastColumn="1" w:noHBand="0" w:noVBand="0"/>
      </w:tblPr>
      <w:tblGrid>
        <w:gridCol w:w="9322"/>
      </w:tblGrid>
      <w:tr w:rsidR="00F615F4" w:rsidRPr="009A53E7" w14:paraId="38E2119A" w14:textId="77777777" w:rsidTr="00F615F4">
        <w:tc>
          <w:tcPr>
            <w:tcW w:w="4536" w:type="dxa"/>
            <w:hideMark/>
          </w:tcPr>
          <w:p w14:paraId="4E47F07F" w14:textId="4E20E243" w:rsidR="00F615F4" w:rsidRPr="009A53E7" w:rsidRDefault="001E3FF4" w:rsidP="001E3FF4">
            <w:pPr>
              <w:spacing w:before="0" w:line="280" w:lineRule="exact"/>
              <w:contextualSpacing/>
              <w:jc w:val="both"/>
              <w:rPr>
                <w:rFonts w:ascii="Calibri" w:hAnsi="Calibri" w:cs="Arial"/>
                <w:b/>
                <w:sz w:val="22"/>
                <w:szCs w:val="22"/>
              </w:rPr>
            </w:pPr>
            <w:r>
              <w:rPr>
                <w:rFonts w:ascii="Calibri" w:hAnsi="Calibri" w:cs="Arial"/>
                <w:b/>
                <w:bCs/>
                <w:sz w:val="22"/>
                <w:szCs w:val="22"/>
                <w:lang w:eastAsia="en-AU"/>
              </w:rPr>
              <w:t>PT PRASETYA KARYA CIPTA</w:t>
            </w:r>
          </w:p>
        </w:tc>
      </w:tr>
      <w:tr w:rsidR="00F615F4" w:rsidRPr="009A53E7" w14:paraId="0FFC28E4" w14:textId="77777777" w:rsidTr="00F615F4">
        <w:tc>
          <w:tcPr>
            <w:tcW w:w="4536" w:type="dxa"/>
          </w:tcPr>
          <w:p w14:paraId="53CA1623" w14:textId="77777777" w:rsidR="00F615F4" w:rsidRPr="009A53E7" w:rsidRDefault="00F615F4" w:rsidP="00F71CDF">
            <w:pPr>
              <w:spacing w:before="0" w:line="280" w:lineRule="exact"/>
              <w:contextualSpacing/>
              <w:jc w:val="both"/>
              <w:rPr>
                <w:rFonts w:ascii="Calibri" w:hAnsi="Calibri" w:cs="Arial"/>
                <w:sz w:val="22"/>
                <w:szCs w:val="22"/>
              </w:rPr>
            </w:pPr>
          </w:p>
          <w:p w14:paraId="0AC02AB7" w14:textId="77777777" w:rsidR="00F615F4" w:rsidRPr="009A53E7" w:rsidRDefault="00F615F4" w:rsidP="00F71CDF">
            <w:pPr>
              <w:spacing w:before="0" w:line="280" w:lineRule="exact"/>
              <w:contextualSpacing/>
              <w:jc w:val="both"/>
              <w:rPr>
                <w:rFonts w:ascii="Calibri" w:hAnsi="Calibri" w:cs="Arial"/>
                <w:sz w:val="22"/>
                <w:szCs w:val="22"/>
              </w:rPr>
            </w:pPr>
          </w:p>
          <w:p w14:paraId="09335479" w14:textId="77777777" w:rsidR="00F615F4" w:rsidRDefault="00F615F4" w:rsidP="00F71CDF">
            <w:pPr>
              <w:spacing w:before="0" w:line="280" w:lineRule="exact"/>
              <w:contextualSpacing/>
              <w:jc w:val="both"/>
              <w:rPr>
                <w:rFonts w:ascii="Calibri" w:hAnsi="Calibri" w:cs="Arial"/>
                <w:sz w:val="22"/>
                <w:szCs w:val="22"/>
              </w:rPr>
            </w:pPr>
          </w:p>
          <w:p w14:paraId="113C5CF5" w14:textId="77777777" w:rsidR="0099395B" w:rsidRPr="009A53E7" w:rsidRDefault="0099395B" w:rsidP="00F71CDF">
            <w:pPr>
              <w:spacing w:before="0" w:line="280" w:lineRule="exact"/>
              <w:contextualSpacing/>
              <w:jc w:val="both"/>
              <w:rPr>
                <w:rFonts w:ascii="Calibri" w:hAnsi="Calibri" w:cs="Arial"/>
                <w:sz w:val="22"/>
                <w:szCs w:val="22"/>
              </w:rPr>
            </w:pPr>
          </w:p>
          <w:p w14:paraId="53C6E2EB" w14:textId="77777777" w:rsidR="00F615F4" w:rsidRPr="009A53E7" w:rsidRDefault="00F615F4" w:rsidP="00F71CDF">
            <w:pPr>
              <w:spacing w:before="0" w:line="280" w:lineRule="exact"/>
              <w:contextualSpacing/>
              <w:jc w:val="both"/>
              <w:rPr>
                <w:rFonts w:ascii="Calibri" w:hAnsi="Calibri" w:cs="Arial"/>
                <w:sz w:val="22"/>
                <w:szCs w:val="22"/>
              </w:rPr>
            </w:pPr>
            <w:r w:rsidRPr="009A53E7">
              <w:rPr>
                <w:rFonts w:ascii="Calibri" w:hAnsi="Calibri" w:cs="Arial"/>
                <w:sz w:val="22"/>
                <w:szCs w:val="22"/>
              </w:rPr>
              <w:t>____________________________________</w:t>
            </w:r>
          </w:p>
        </w:tc>
      </w:tr>
      <w:tr w:rsidR="00F615F4" w:rsidRPr="009A53E7" w14:paraId="7F7C85A8" w14:textId="77777777" w:rsidTr="00F615F4">
        <w:tc>
          <w:tcPr>
            <w:tcW w:w="4536" w:type="dxa"/>
            <w:hideMark/>
          </w:tcPr>
          <w:p w14:paraId="57B96C4C" w14:textId="5BC49F72" w:rsidR="00F615F4" w:rsidRPr="009A53E7" w:rsidRDefault="00850539" w:rsidP="00F71CDF">
            <w:pPr>
              <w:spacing w:before="0" w:line="280" w:lineRule="exact"/>
              <w:contextualSpacing/>
              <w:jc w:val="both"/>
              <w:rPr>
                <w:rFonts w:ascii="Calibri" w:hAnsi="Calibri" w:cs="Arial"/>
                <w:sz w:val="22"/>
                <w:szCs w:val="22"/>
              </w:rPr>
            </w:pPr>
            <w:r w:rsidRPr="00054AA7">
              <w:rPr>
                <w:rFonts w:ascii="Calibri" w:hAnsi="Calibri" w:cs="Arial"/>
                <w:sz w:val="22"/>
                <w:szCs w:val="22"/>
              </w:rPr>
              <w:t>Nama</w:t>
            </w:r>
            <w:r w:rsidR="00F615F4" w:rsidRPr="009A53E7">
              <w:rPr>
                <w:rFonts w:ascii="Calibri" w:hAnsi="Calibri" w:cs="Arial"/>
                <w:sz w:val="22"/>
                <w:szCs w:val="22"/>
              </w:rPr>
              <w:tab/>
              <w:t>:</w:t>
            </w:r>
            <w:r w:rsidR="007D7E41" w:rsidRPr="006A51A6">
              <w:rPr>
                <w:rFonts w:ascii="Calibri" w:hAnsi="Calibri" w:cs="Calibri"/>
                <w:sz w:val="22"/>
                <w:szCs w:val="22"/>
                <w:lang w:val="en-SG"/>
              </w:rPr>
              <w:t xml:space="preserve"> </w:t>
            </w:r>
            <w:r w:rsidR="00766963">
              <w:rPr>
                <w:rFonts w:ascii="Calibri" w:hAnsi="Calibri" w:cs="Calibri"/>
                <w:sz w:val="22"/>
                <w:szCs w:val="22"/>
                <w:lang w:val="en-SG"/>
              </w:rPr>
              <w:t>Andy Indigo</w:t>
            </w:r>
          </w:p>
        </w:tc>
      </w:tr>
      <w:tr w:rsidR="00F615F4" w:rsidRPr="009A53E7" w14:paraId="66DC3B6B" w14:textId="77777777" w:rsidTr="00F615F4">
        <w:trPr>
          <w:trHeight w:val="70"/>
        </w:trPr>
        <w:tc>
          <w:tcPr>
            <w:tcW w:w="4536" w:type="dxa"/>
            <w:hideMark/>
          </w:tcPr>
          <w:p w14:paraId="67208D5E" w14:textId="4CC91622" w:rsidR="00F615F4" w:rsidRPr="009A53E7" w:rsidRDefault="00850539" w:rsidP="00F71CDF">
            <w:pPr>
              <w:spacing w:before="0" w:line="280" w:lineRule="exact"/>
              <w:contextualSpacing/>
              <w:jc w:val="both"/>
              <w:rPr>
                <w:rFonts w:ascii="Calibri" w:hAnsi="Calibri" w:cs="Arial"/>
                <w:sz w:val="22"/>
                <w:szCs w:val="22"/>
              </w:rPr>
            </w:pPr>
            <w:r w:rsidRPr="00054AA7">
              <w:rPr>
                <w:rFonts w:ascii="Calibri" w:hAnsi="Calibri" w:cs="Arial"/>
                <w:sz w:val="22"/>
                <w:szCs w:val="22"/>
              </w:rPr>
              <w:t>Jabatan</w:t>
            </w:r>
            <w:r w:rsidR="00F615F4" w:rsidRPr="009A53E7">
              <w:rPr>
                <w:rFonts w:ascii="Calibri" w:hAnsi="Calibri" w:cs="Arial"/>
                <w:sz w:val="22"/>
                <w:szCs w:val="22"/>
              </w:rPr>
              <w:tab/>
              <w:t xml:space="preserve">: </w:t>
            </w:r>
            <w:r w:rsidR="007D7E41" w:rsidRPr="00054AA7">
              <w:rPr>
                <w:rFonts w:ascii="Calibri" w:hAnsi="Calibri" w:cs="Calibri"/>
                <w:sz w:val="22"/>
                <w:szCs w:val="22"/>
              </w:rPr>
              <w:t>Direktur</w:t>
            </w:r>
          </w:p>
        </w:tc>
      </w:tr>
    </w:tbl>
    <w:p w14:paraId="29E063C5" w14:textId="77777777" w:rsidR="00C849FB" w:rsidRPr="009A53E7" w:rsidRDefault="00C849FB" w:rsidP="00F71CDF">
      <w:pPr>
        <w:spacing w:before="0" w:line="280" w:lineRule="exact"/>
        <w:contextualSpacing/>
        <w:rPr>
          <w:rFonts w:ascii="Calibri" w:hAnsi="Calibri"/>
          <w:sz w:val="22"/>
          <w:szCs w:val="22"/>
        </w:rPr>
      </w:pPr>
    </w:p>
    <w:sectPr w:rsidR="00C849FB" w:rsidRPr="009A53E7" w:rsidSect="00F146BE">
      <w:footerReference w:type="default" r:id="rId16"/>
      <w:pgSz w:w="11907" w:h="16839" w:code="9"/>
      <w:pgMar w:top="1418" w:right="1440" w:bottom="1276" w:left="144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BD833" w14:textId="77777777" w:rsidR="00F146BE" w:rsidRDefault="00F146BE" w:rsidP="00F73004">
      <w:pPr>
        <w:spacing w:before="0" w:line="240" w:lineRule="auto"/>
      </w:pPr>
      <w:r>
        <w:separator/>
      </w:r>
    </w:p>
  </w:endnote>
  <w:endnote w:type="continuationSeparator" w:id="0">
    <w:p w14:paraId="6A7D3323" w14:textId="77777777" w:rsidR="00F146BE" w:rsidRDefault="00F146BE" w:rsidP="00F73004">
      <w:pPr>
        <w:spacing w:before="0" w:line="240" w:lineRule="auto"/>
      </w:pPr>
      <w:r>
        <w:continuationSeparator/>
      </w:r>
    </w:p>
  </w:endnote>
  <w:endnote w:type="continuationNotice" w:id="1">
    <w:p w14:paraId="3E46368D" w14:textId="77777777" w:rsidR="006C449B" w:rsidRDefault="006C449B">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2FB85" w14:textId="77777777" w:rsidR="00DB1E17" w:rsidRDefault="00DB1E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1813F" w14:textId="5A2F5B75" w:rsidR="00F615F4" w:rsidRPr="00F615F4" w:rsidRDefault="00F615F4" w:rsidP="005B6DCA">
    <w:pPr>
      <w:pStyle w:val="Footer"/>
      <w:spacing w:before="0" w:line="240" w:lineRule="auto"/>
      <w:jc w:val="right"/>
      <w:rPr>
        <w:rFonts w:ascii="Calibri" w:hAnsi="Calibri"/>
        <w:sz w:val="18"/>
        <w:szCs w:val="18"/>
      </w:rPr>
    </w:pPr>
    <w:r w:rsidRPr="00DB60F4">
      <w:rPr>
        <w:rFonts w:ascii="Calibri" w:hAnsi="Calibri"/>
        <w:sz w:val="18"/>
        <w:szCs w:val="18"/>
      </w:rPr>
      <w:t xml:space="preserve">PT </w:t>
    </w:r>
    <w:r w:rsidR="0089712B">
      <w:rPr>
        <w:rFonts w:ascii="Calibri" w:hAnsi="Calibri"/>
        <w:sz w:val="18"/>
        <w:szCs w:val="18"/>
      </w:rPr>
      <w:t>PDE</w:t>
    </w:r>
    <w:r w:rsidR="0089712B" w:rsidRPr="00DB60F4">
      <w:rPr>
        <w:rFonts w:ascii="Calibri" w:hAnsi="Calibri"/>
        <w:sz w:val="18"/>
        <w:szCs w:val="18"/>
      </w:rPr>
      <w:t xml:space="preserve"> </w:t>
    </w:r>
    <w:r w:rsidRPr="00DB60F4">
      <w:rPr>
        <w:rFonts w:ascii="Calibri" w:hAnsi="Calibri"/>
        <w:sz w:val="18"/>
        <w:szCs w:val="18"/>
      </w:rPr>
      <w:t>|</w:t>
    </w:r>
    <w:r w:rsidR="00622190" w:rsidDel="00DB1E17">
      <w:rPr>
        <w:rFonts w:ascii="Calibri" w:hAnsi="Calibri"/>
        <w:sz w:val="18"/>
        <w:szCs w:val="18"/>
      </w:rPr>
      <w:t xml:space="preserve"> </w:t>
    </w:r>
    <w:r w:rsidR="00622190" w:rsidRPr="00054AA7">
      <w:rPr>
        <w:rFonts w:ascii="Calibri" w:hAnsi="Calibri"/>
        <w:sz w:val="18"/>
        <w:szCs w:val="18"/>
      </w:rPr>
      <w:t xml:space="preserve">Surat Kuasa Yang </w:t>
    </w:r>
    <w:r w:rsidR="00464680" w:rsidRPr="00054AA7">
      <w:rPr>
        <w:rFonts w:ascii="Calibri" w:hAnsi="Calibri"/>
        <w:sz w:val="18"/>
        <w:szCs w:val="18"/>
      </w:rPr>
      <w:t xml:space="preserve">Tidak Dapat Ditarik Kembali untuk </w:t>
    </w:r>
    <w:r w:rsidR="00896B2A" w:rsidRPr="00054AA7">
      <w:rPr>
        <w:rFonts w:ascii="Calibri" w:hAnsi="Calibri"/>
        <w:sz w:val="18"/>
        <w:szCs w:val="18"/>
      </w:rPr>
      <w:t xml:space="preserve">Mengeluarkan </w:t>
    </w:r>
    <w:r w:rsidR="00464680" w:rsidRPr="00054AA7">
      <w:rPr>
        <w:rFonts w:ascii="Calibri" w:hAnsi="Calibri"/>
        <w:sz w:val="18"/>
        <w:szCs w:val="18"/>
      </w:rPr>
      <w:t>Suara</w:t>
    </w:r>
    <w:r w:rsidR="00622190">
      <w:rPr>
        <w:rFonts w:ascii="Calibri" w:hAnsi="Calibri"/>
        <w:sz w:val="18"/>
        <w:szCs w:val="18"/>
      </w:rPr>
      <w:t xml:space="preserve"> </w:t>
    </w:r>
    <w:r w:rsidRPr="00DB60F4">
      <w:rPr>
        <w:rFonts w:ascii="Calibri" w:hAnsi="Calibri"/>
        <w:sz w:val="18"/>
        <w:szCs w:val="18"/>
      </w:rPr>
      <w:t>(</w:t>
    </w:r>
    <w:r w:rsidR="00766963">
      <w:rPr>
        <w:rFonts w:ascii="Calibri" w:hAnsi="Calibri"/>
        <w:sz w:val="18"/>
        <w:szCs w:val="18"/>
      </w:rPr>
      <w:t>Johan</w:t>
    </w:r>
    <w:r w:rsidRPr="00DB60F4">
      <w:rPr>
        <w:rFonts w:ascii="Calibri" w:hAnsi="Calibri"/>
        <w:sz w:val="18"/>
        <w:szCs w:val="18"/>
      </w:rPr>
      <w:t>-</w:t>
    </w:r>
    <w:r w:rsidR="00766963">
      <w:rPr>
        <w:rFonts w:ascii="Calibri" w:hAnsi="Calibri"/>
        <w:sz w:val="18"/>
        <w:szCs w:val="18"/>
      </w:rPr>
      <w:t>PT PKC</w:t>
    </w:r>
    <w:r w:rsidRPr="00DB60F4">
      <w:rPr>
        <w:rFonts w:ascii="Calibri" w:hAnsi="Calibri"/>
        <w:sz w:val="18"/>
        <w:szCs w:val="18"/>
      </w:rPr>
      <w:t xml:space="preserve">) - </w:t>
    </w:r>
    <w:r w:rsidRPr="00F615F4">
      <w:rPr>
        <w:rFonts w:ascii="Calibri" w:hAnsi="Calibri"/>
        <w:sz w:val="18"/>
        <w:szCs w:val="18"/>
      </w:rPr>
      <w:fldChar w:fldCharType="begin"/>
    </w:r>
    <w:r w:rsidRPr="00F615F4">
      <w:rPr>
        <w:rFonts w:ascii="Calibri" w:hAnsi="Calibri"/>
        <w:sz w:val="18"/>
        <w:szCs w:val="18"/>
      </w:rPr>
      <w:instrText xml:space="preserve"> PAGE   \* MERGEFORMAT </w:instrText>
    </w:r>
    <w:r w:rsidRPr="00F615F4">
      <w:rPr>
        <w:rFonts w:ascii="Calibri" w:hAnsi="Calibri"/>
        <w:sz w:val="18"/>
        <w:szCs w:val="18"/>
      </w:rPr>
      <w:fldChar w:fldCharType="separate"/>
    </w:r>
    <w:r w:rsidR="00EB7906">
      <w:rPr>
        <w:rFonts w:ascii="Calibri" w:hAnsi="Calibri"/>
        <w:noProof/>
        <w:sz w:val="18"/>
        <w:szCs w:val="18"/>
      </w:rPr>
      <w:t>1</w:t>
    </w:r>
    <w:r w:rsidRPr="00F615F4">
      <w:rPr>
        <w:rFonts w:ascii="Calibri" w:hAnsi="Calibri"/>
        <w:sz w:val="18"/>
        <w:szCs w:val="18"/>
      </w:rPr>
      <w:fldChar w:fldCharType="end"/>
    </w:r>
  </w:p>
  <w:p w14:paraId="1E980A5B" w14:textId="77777777" w:rsidR="00F615F4" w:rsidRPr="00F73004" w:rsidRDefault="00F615F4">
    <w:pPr>
      <w:pStyle w:val="Footer"/>
      <w:jc w:val="center"/>
      <w:rPr>
        <w:rFonts w:ascii="Cambria" w:hAnsi="Cambria"/>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D763E" w14:textId="77777777" w:rsidR="00DB1E17" w:rsidRDefault="00DB1E1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1CD04" w14:textId="214267CC" w:rsidR="0029531B" w:rsidRPr="00F615F4" w:rsidRDefault="00F615F4" w:rsidP="005B6DCA">
    <w:pPr>
      <w:pStyle w:val="Footer"/>
      <w:spacing w:before="0" w:line="240" w:lineRule="auto"/>
      <w:jc w:val="right"/>
      <w:rPr>
        <w:rFonts w:ascii="Calibri" w:hAnsi="Calibri"/>
        <w:sz w:val="18"/>
        <w:szCs w:val="18"/>
      </w:rPr>
    </w:pPr>
    <w:r w:rsidRPr="00DB60F4">
      <w:rPr>
        <w:rFonts w:ascii="Calibri" w:hAnsi="Calibri"/>
        <w:sz w:val="18"/>
        <w:szCs w:val="18"/>
      </w:rPr>
      <w:t xml:space="preserve">PT </w:t>
    </w:r>
    <w:r w:rsidR="0089712B">
      <w:rPr>
        <w:rFonts w:ascii="Calibri" w:hAnsi="Calibri"/>
        <w:sz w:val="18"/>
        <w:szCs w:val="18"/>
      </w:rPr>
      <w:t>PDE</w:t>
    </w:r>
    <w:r w:rsidR="0089712B" w:rsidRPr="00DB60F4">
      <w:rPr>
        <w:rFonts w:ascii="Calibri" w:hAnsi="Calibri"/>
        <w:sz w:val="18"/>
        <w:szCs w:val="18"/>
      </w:rPr>
      <w:t xml:space="preserve"> </w:t>
    </w:r>
    <w:r w:rsidRPr="00DB60F4">
      <w:rPr>
        <w:rFonts w:ascii="Calibri" w:hAnsi="Calibri"/>
        <w:sz w:val="18"/>
        <w:szCs w:val="18"/>
      </w:rPr>
      <w:t xml:space="preserve">| </w:t>
    </w:r>
  </w:p>
  <w:p w14:paraId="07B2CB8D" w14:textId="2D6AA96C" w:rsidR="00F615F4" w:rsidRPr="00F615F4" w:rsidRDefault="00464680" w:rsidP="005B6DCA">
    <w:pPr>
      <w:pStyle w:val="Footer"/>
      <w:spacing w:before="0" w:line="240" w:lineRule="auto"/>
      <w:jc w:val="right"/>
      <w:rPr>
        <w:rFonts w:ascii="Calibri" w:hAnsi="Calibri"/>
        <w:sz w:val="18"/>
        <w:szCs w:val="18"/>
      </w:rPr>
    </w:pPr>
    <w:r w:rsidDel="00F7148B">
      <w:rPr>
        <w:rFonts w:ascii="Calibri" w:hAnsi="Calibri"/>
        <w:sz w:val="18"/>
        <w:szCs w:val="18"/>
      </w:rPr>
      <w:t xml:space="preserve"> </w:t>
    </w:r>
    <w:r w:rsidRPr="00054AA7">
      <w:rPr>
        <w:rFonts w:ascii="Calibri" w:hAnsi="Calibri"/>
        <w:sz w:val="18"/>
        <w:szCs w:val="18"/>
      </w:rPr>
      <w:t xml:space="preserve">Surat Kuasa Yang Tidak Dapat Ditarik Kembali untuk </w:t>
    </w:r>
    <w:r w:rsidR="00896B2A" w:rsidRPr="00054AA7">
      <w:rPr>
        <w:rFonts w:ascii="Calibri" w:hAnsi="Calibri"/>
        <w:sz w:val="18"/>
        <w:szCs w:val="18"/>
      </w:rPr>
      <w:t xml:space="preserve">Mengeluarkan </w:t>
    </w:r>
    <w:r w:rsidRPr="00054AA7">
      <w:rPr>
        <w:rFonts w:ascii="Calibri" w:hAnsi="Calibri"/>
        <w:sz w:val="18"/>
        <w:szCs w:val="18"/>
      </w:rPr>
      <w:t>Suara</w:t>
    </w:r>
    <w:r w:rsidR="0029531B" w:rsidRPr="00054AA7">
      <w:rPr>
        <w:rFonts w:ascii="Calibri" w:hAnsi="Calibri"/>
        <w:sz w:val="18"/>
        <w:szCs w:val="18"/>
      </w:rPr>
      <w:t xml:space="preserve"> (Halaman Tanda Tangan)</w:t>
    </w:r>
    <w:r w:rsidR="0029531B">
      <w:rPr>
        <w:rFonts w:ascii="Calibri" w:hAnsi="Calibri"/>
        <w:i/>
        <w:iCs/>
        <w:sz w:val="18"/>
        <w:szCs w:val="18"/>
      </w:rPr>
      <w:t xml:space="preserve"> </w:t>
    </w:r>
    <w:r w:rsidR="00B947CA">
      <w:rPr>
        <w:rFonts w:ascii="Calibri" w:hAnsi="Calibri"/>
        <w:sz w:val="18"/>
        <w:szCs w:val="18"/>
      </w:rPr>
      <w:t>|</w:t>
    </w:r>
    <w:r w:rsidR="00F615F4">
      <w:rPr>
        <w:rFonts w:ascii="Calibri" w:hAnsi="Calibri"/>
        <w:sz w:val="18"/>
        <w:szCs w:val="18"/>
      </w:rPr>
      <w:t xml:space="preserve"> </w:t>
    </w:r>
    <w:r w:rsidR="00F615F4" w:rsidRPr="00DB60F4">
      <w:rPr>
        <w:rFonts w:ascii="Calibri" w:hAnsi="Calibri"/>
        <w:sz w:val="18"/>
        <w:szCs w:val="18"/>
      </w:rPr>
      <w:t>(</w:t>
    </w:r>
    <w:r w:rsidR="00F7148B">
      <w:rPr>
        <w:rFonts w:ascii="Calibri" w:hAnsi="Calibri"/>
        <w:sz w:val="18"/>
        <w:szCs w:val="18"/>
      </w:rPr>
      <w:t>Johan</w:t>
    </w:r>
    <w:r w:rsidR="00F615F4" w:rsidRPr="00DB60F4">
      <w:rPr>
        <w:rFonts w:ascii="Calibri" w:hAnsi="Calibri"/>
        <w:sz w:val="18"/>
        <w:szCs w:val="18"/>
      </w:rPr>
      <w:t>-</w:t>
    </w:r>
    <w:r w:rsidR="00F7148B">
      <w:rPr>
        <w:rFonts w:ascii="Calibri" w:hAnsi="Calibri"/>
        <w:sz w:val="18"/>
        <w:szCs w:val="18"/>
      </w:rPr>
      <w:t>PT PKC</w:t>
    </w:r>
    <w:r w:rsidR="00F615F4" w:rsidRPr="00DB60F4">
      <w:rPr>
        <w:rFonts w:ascii="Calibri" w:hAnsi="Calibri"/>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24AD1" w14:textId="77777777" w:rsidR="00F146BE" w:rsidRDefault="00F146BE" w:rsidP="00F73004">
      <w:pPr>
        <w:spacing w:before="0" w:line="240" w:lineRule="auto"/>
      </w:pPr>
      <w:r>
        <w:separator/>
      </w:r>
    </w:p>
  </w:footnote>
  <w:footnote w:type="continuationSeparator" w:id="0">
    <w:p w14:paraId="34FE389E" w14:textId="77777777" w:rsidR="00F146BE" w:rsidRDefault="00F146BE" w:rsidP="00F73004">
      <w:pPr>
        <w:spacing w:before="0" w:line="240" w:lineRule="auto"/>
      </w:pPr>
      <w:r>
        <w:continuationSeparator/>
      </w:r>
    </w:p>
  </w:footnote>
  <w:footnote w:type="continuationNotice" w:id="1">
    <w:p w14:paraId="77AFE94F" w14:textId="77777777" w:rsidR="006C449B" w:rsidRDefault="006C449B">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1680D" w14:textId="77777777" w:rsidR="00DB1E17" w:rsidRDefault="00DB1E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B6E63" w14:textId="77777777" w:rsidR="00DB1E17" w:rsidRDefault="00DB1E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D1B3D" w14:textId="77777777" w:rsidR="00DB1E17" w:rsidRDefault="00DB1E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209C2"/>
    <w:multiLevelType w:val="hybridMultilevel"/>
    <w:tmpl w:val="FA9CF4D2"/>
    <w:lvl w:ilvl="0" w:tplc="9A04FA28">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3A021D47"/>
    <w:multiLevelType w:val="hybridMultilevel"/>
    <w:tmpl w:val="C9183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007174"/>
    <w:multiLevelType w:val="hybridMultilevel"/>
    <w:tmpl w:val="A2A4DB24"/>
    <w:lvl w:ilvl="0" w:tplc="EF6211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2606EA"/>
    <w:multiLevelType w:val="hybridMultilevel"/>
    <w:tmpl w:val="97B4425A"/>
    <w:lvl w:ilvl="0" w:tplc="9A04FA2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D71CAD"/>
    <w:multiLevelType w:val="hybridMultilevel"/>
    <w:tmpl w:val="97B4425A"/>
    <w:lvl w:ilvl="0" w:tplc="9A04FA2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2863255">
    <w:abstractNumId w:val="1"/>
  </w:num>
  <w:num w:numId="2" w16cid:durableId="1458521318">
    <w:abstractNumId w:val="3"/>
  </w:num>
  <w:num w:numId="3" w16cid:durableId="1585454751">
    <w:abstractNumId w:val="4"/>
  </w:num>
  <w:num w:numId="4" w16cid:durableId="1958103695">
    <w:abstractNumId w:val="0"/>
  </w:num>
  <w:num w:numId="5" w16cid:durableId="2996558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M1MrUwNzQ1tTCxNLdQ0lEKTi0uzszPAykwrAUA3wIGJCwAAAA="/>
  </w:docVars>
  <w:rsids>
    <w:rsidRoot w:val="003237BA"/>
    <w:rsid w:val="00002E7F"/>
    <w:rsid w:val="000114DB"/>
    <w:rsid w:val="00017EFC"/>
    <w:rsid w:val="000264DF"/>
    <w:rsid w:val="00034908"/>
    <w:rsid w:val="0004081A"/>
    <w:rsid w:val="00040A04"/>
    <w:rsid w:val="00042BD6"/>
    <w:rsid w:val="00045261"/>
    <w:rsid w:val="00054AA7"/>
    <w:rsid w:val="00056788"/>
    <w:rsid w:val="000817C8"/>
    <w:rsid w:val="000A3213"/>
    <w:rsid w:val="000C3B82"/>
    <w:rsid w:val="000F12C9"/>
    <w:rsid w:val="001013C4"/>
    <w:rsid w:val="001049E1"/>
    <w:rsid w:val="00110AAC"/>
    <w:rsid w:val="00111009"/>
    <w:rsid w:val="001302C8"/>
    <w:rsid w:val="001310E5"/>
    <w:rsid w:val="00133BEA"/>
    <w:rsid w:val="00135180"/>
    <w:rsid w:val="001634BA"/>
    <w:rsid w:val="0016679B"/>
    <w:rsid w:val="001726E7"/>
    <w:rsid w:val="00176054"/>
    <w:rsid w:val="00177849"/>
    <w:rsid w:val="00186FC3"/>
    <w:rsid w:val="00195BA3"/>
    <w:rsid w:val="001A3D5F"/>
    <w:rsid w:val="001A5383"/>
    <w:rsid w:val="001A5A6C"/>
    <w:rsid w:val="001B0D9D"/>
    <w:rsid w:val="001B4E89"/>
    <w:rsid w:val="001C04EB"/>
    <w:rsid w:val="001C1514"/>
    <w:rsid w:val="001C31D2"/>
    <w:rsid w:val="001C6E24"/>
    <w:rsid w:val="001D3610"/>
    <w:rsid w:val="001D584B"/>
    <w:rsid w:val="001E211A"/>
    <w:rsid w:val="001E3FF4"/>
    <w:rsid w:val="001E5C7F"/>
    <w:rsid w:val="001E7C38"/>
    <w:rsid w:val="00203212"/>
    <w:rsid w:val="00207AF8"/>
    <w:rsid w:val="00212791"/>
    <w:rsid w:val="00216065"/>
    <w:rsid w:val="0022496E"/>
    <w:rsid w:val="00233A65"/>
    <w:rsid w:val="0023420B"/>
    <w:rsid w:val="00244B90"/>
    <w:rsid w:val="00247DF4"/>
    <w:rsid w:val="00256910"/>
    <w:rsid w:val="00263BBF"/>
    <w:rsid w:val="0026430E"/>
    <w:rsid w:val="00274BB1"/>
    <w:rsid w:val="0028013C"/>
    <w:rsid w:val="0029531B"/>
    <w:rsid w:val="00297576"/>
    <w:rsid w:val="00297EBF"/>
    <w:rsid w:val="002A2151"/>
    <w:rsid w:val="002B7470"/>
    <w:rsid w:val="002C00A6"/>
    <w:rsid w:val="002C2F0D"/>
    <w:rsid w:val="002E04B6"/>
    <w:rsid w:val="00301322"/>
    <w:rsid w:val="00303AA7"/>
    <w:rsid w:val="003237BA"/>
    <w:rsid w:val="00334129"/>
    <w:rsid w:val="00337270"/>
    <w:rsid w:val="00360795"/>
    <w:rsid w:val="00371CF7"/>
    <w:rsid w:val="003745EF"/>
    <w:rsid w:val="003770F3"/>
    <w:rsid w:val="003813C3"/>
    <w:rsid w:val="00381C37"/>
    <w:rsid w:val="00387972"/>
    <w:rsid w:val="00395003"/>
    <w:rsid w:val="003A08DA"/>
    <w:rsid w:val="003A1C25"/>
    <w:rsid w:val="003A3986"/>
    <w:rsid w:val="003A63B1"/>
    <w:rsid w:val="003B15A2"/>
    <w:rsid w:val="003B1DB1"/>
    <w:rsid w:val="003B34A5"/>
    <w:rsid w:val="003B6976"/>
    <w:rsid w:val="003C0278"/>
    <w:rsid w:val="003D4E64"/>
    <w:rsid w:val="003D668F"/>
    <w:rsid w:val="003E0AC4"/>
    <w:rsid w:val="003E0BD0"/>
    <w:rsid w:val="003E4598"/>
    <w:rsid w:val="003F7B1C"/>
    <w:rsid w:val="00400CA5"/>
    <w:rsid w:val="00404E68"/>
    <w:rsid w:val="00416C92"/>
    <w:rsid w:val="004214D9"/>
    <w:rsid w:val="00427DC5"/>
    <w:rsid w:val="004341E5"/>
    <w:rsid w:val="00441903"/>
    <w:rsid w:val="004579F7"/>
    <w:rsid w:val="004607EA"/>
    <w:rsid w:val="004613ED"/>
    <w:rsid w:val="00462758"/>
    <w:rsid w:val="00464680"/>
    <w:rsid w:val="00464F45"/>
    <w:rsid w:val="00476EBB"/>
    <w:rsid w:val="00482982"/>
    <w:rsid w:val="004A1C35"/>
    <w:rsid w:val="004A46A8"/>
    <w:rsid w:val="004B0CC1"/>
    <w:rsid w:val="004B2E64"/>
    <w:rsid w:val="004B37CD"/>
    <w:rsid w:val="004B5A48"/>
    <w:rsid w:val="004D43B4"/>
    <w:rsid w:val="004D62A9"/>
    <w:rsid w:val="004E4DFB"/>
    <w:rsid w:val="004E59B1"/>
    <w:rsid w:val="004F0EB3"/>
    <w:rsid w:val="004F4B21"/>
    <w:rsid w:val="004F7374"/>
    <w:rsid w:val="005049B5"/>
    <w:rsid w:val="0051682B"/>
    <w:rsid w:val="00545B95"/>
    <w:rsid w:val="00546C79"/>
    <w:rsid w:val="005659EE"/>
    <w:rsid w:val="00570EBE"/>
    <w:rsid w:val="00576A18"/>
    <w:rsid w:val="005915A7"/>
    <w:rsid w:val="00591A26"/>
    <w:rsid w:val="00595A9F"/>
    <w:rsid w:val="0059744A"/>
    <w:rsid w:val="005A5742"/>
    <w:rsid w:val="005B043F"/>
    <w:rsid w:val="005B3604"/>
    <w:rsid w:val="005B6DCA"/>
    <w:rsid w:val="005C22C1"/>
    <w:rsid w:val="005C316D"/>
    <w:rsid w:val="005C36B1"/>
    <w:rsid w:val="005C3F0B"/>
    <w:rsid w:val="005D72F5"/>
    <w:rsid w:val="005E0CC3"/>
    <w:rsid w:val="005E0F4E"/>
    <w:rsid w:val="005F1B4C"/>
    <w:rsid w:val="00601626"/>
    <w:rsid w:val="00601726"/>
    <w:rsid w:val="00606679"/>
    <w:rsid w:val="00606EE3"/>
    <w:rsid w:val="0061200C"/>
    <w:rsid w:val="00614EEC"/>
    <w:rsid w:val="00615F4A"/>
    <w:rsid w:val="00617067"/>
    <w:rsid w:val="00617203"/>
    <w:rsid w:val="00622190"/>
    <w:rsid w:val="00622E6A"/>
    <w:rsid w:val="00624712"/>
    <w:rsid w:val="006265A7"/>
    <w:rsid w:val="00632A8B"/>
    <w:rsid w:val="006403E7"/>
    <w:rsid w:val="00641F94"/>
    <w:rsid w:val="006510AF"/>
    <w:rsid w:val="006535B7"/>
    <w:rsid w:val="006630A7"/>
    <w:rsid w:val="006657EB"/>
    <w:rsid w:val="00666A53"/>
    <w:rsid w:val="00667A26"/>
    <w:rsid w:val="00673962"/>
    <w:rsid w:val="0067421B"/>
    <w:rsid w:val="00682621"/>
    <w:rsid w:val="0068707F"/>
    <w:rsid w:val="006958FB"/>
    <w:rsid w:val="0069781A"/>
    <w:rsid w:val="006A379B"/>
    <w:rsid w:val="006A7F38"/>
    <w:rsid w:val="006B178D"/>
    <w:rsid w:val="006C449B"/>
    <w:rsid w:val="006D13C0"/>
    <w:rsid w:val="006D4CE5"/>
    <w:rsid w:val="006D5398"/>
    <w:rsid w:val="006D6238"/>
    <w:rsid w:val="006E2B84"/>
    <w:rsid w:val="006E3B93"/>
    <w:rsid w:val="006E5B91"/>
    <w:rsid w:val="006F4932"/>
    <w:rsid w:val="0070380E"/>
    <w:rsid w:val="007106D6"/>
    <w:rsid w:val="00723DCE"/>
    <w:rsid w:val="007278C9"/>
    <w:rsid w:val="0074350D"/>
    <w:rsid w:val="00755AD2"/>
    <w:rsid w:val="00765FBB"/>
    <w:rsid w:val="00766963"/>
    <w:rsid w:val="00771761"/>
    <w:rsid w:val="00785912"/>
    <w:rsid w:val="007872F0"/>
    <w:rsid w:val="007913DA"/>
    <w:rsid w:val="00793A02"/>
    <w:rsid w:val="007B32EF"/>
    <w:rsid w:val="007C3EF4"/>
    <w:rsid w:val="007D7E41"/>
    <w:rsid w:val="007E3D2E"/>
    <w:rsid w:val="007F2FBA"/>
    <w:rsid w:val="00803BC9"/>
    <w:rsid w:val="00804E1E"/>
    <w:rsid w:val="00805AC4"/>
    <w:rsid w:val="0081151B"/>
    <w:rsid w:val="00814194"/>
    <w:rsid w:val="00820FBD"/>
    <w:rsid w:val="00823DEE"/>
    <w:rsid w:val="0082565C"/>
    <w:rsid w:val="00831A72"/>
    <w:rsid w:val="008443AB"/>
    <w:rsid w:val="00850539"/>
    <w:rsid w:val="00874569"/>
    <w:rsid w:val="00877855"/>
    <w:rsid w:val="00890ABA"/>
    <w:rsid w:val="008921F1"/>
    <w:rsid w:val="00892B70"/>
    <w:rsid w:val="00896B2A"/>
    <w:rsid w:val="0089712B"/>
    <w:rsid w:val="008A07F6"/>
    <w:rsid w:val="008C3764"/>
    <w:rsid w:val="008D1620"/>
    <w:rsid w:val="008D377E"/>
    <w:rsid w:val="008D6C63"/>
    <w:rsid w:val="008E24A0"/>
    <w:rsid w:val="008E35BA"/>
    <w:rsid w:val="008F10ED"/>
    <w:rsid w:val="00905D34"/>
    <w:rsid w:val="00906EC5"/>
    <w:rsid w:val="00913444"/>
    <w:rsid w:val="009170D0"/>
    <w:rsid w:val="0091734B"/>
    <w:rsid w:val="00917608"/>
    <w:rsid w:val="0092473C"/>
    <w:rsid w:val="00941AF3"/>
    <w:rsid w:val="00943B56"/>
    <w:rsid w:val="009473D9"/>
    <w:rsid w:val="00955C71"/>
    <w:rsid w:val="00961AAF"/>
    <w:rsid w:val="009638C2"/>
    <w:rsid w:val="0098038F"/>
    <w:rsid w:val="00990CF2"/>
    <w:rsid w:val="0099395B"/>
    <w:rsid w:val="00996664"/>
    <w:rsid w:val="00997067"/>
    <w:rsid w:val="009A30EC"/>
    <w:rsid w:val="009A53E7"/>
    <w:rsid w:val="009A59BF"/>
    <w:rsid w:val="009B00E2"/>
    <w:rsid w:val="009B1640"/>
    <w:rsid w:val="009B201F"/>
    <w:rsid w:val="009B3C73"/>
    <w:rsid w:val="009E169C"/>
    <w:rsid w:val="009E40F0"/>
    <w:rsid w:val="009E642D"/>
    <w:rsid w:val="009F714B"/>
    <w:rsid w:val="00A0502C"/>
    <w:rsid w:val="00A2022F"/>
    <w:rsid w:val="00A32900"/>
    <w:rsid w:val="00A33CD7"/>
    <w:rsid w:val="00A3608C"/>
    <w:rsid w:val="00A46B27"/>
    <w:rsid w:val="00A51680"/>
    <w:rsid w:val="00A51D51"/>
    <w:rsid w:val="00A55C33"/>
    <w:rsid w:val="00A637AB"/>
    <w:rsid w:val="00A85B60"/>
    <w:rsid w:val="00A86E28"/>
    <w:rsid w:val="00A87008"/>
    <w:rsid w:val="00A9409F"/>
    <w:rsid w:val="00AA0335"/>
    <w:rsid w:val="00AA60CC"/>
    <w:rsid w:val="00AC15C5"/>
    <w:rsid w:val="00AC25C7"/>
    <w:rsid w:val="00AD0338"/>
    <w:rsid w:val="00AD3A68"/>
    <w:rsid w:val="00AE0D4F"/>
    <w:rsid w:val="00AE1AA8"/>
    <w:rsid w:val="00AE78A1"/>
    <w:rsid w:val="00AF12F5"/>
    <w:rsid w:val="00AF21E4"/>
    <w:rsid w:val="00AF6B98"/>
    <w:rsid w:val="00B02BCC"/>
    <w:rsid w:val="00B11BBF"/>
    <w:rsid w:val="00B1240A"/>
    <w:rsid w:val="00B21F98"/>
    <w:rsid w:val="00B24715"/>
    <w:rsid w:val="00B254FB"/>
    <w:rsid w:val="00B36590"/>
    <w:rsid w:val="00B37D50"/>
    <w:rsid w:val="00B451A8"/>
    <w:rsid w:val="00B5716B"/>
    <w:rsid w:val="00B6640C"/>
    <w:rsid w:val="00B74613"/>
    <w:rsid w:val="00B869F9"/>
    <w:rsid w:val="00B90CE5"/>
    <w:rsid w:val="00B947CA"/>
    <w:rsid w:val="00B955EA"/>
    <w:rsid w:val="00B97684"/>
    <w:rsid w:val="00BA1F5F"/>
    <w:rsid w:val="00BB0866"/>
    <w:rsid w:val="00BB3E61"/>
    <w:rsid w:val="00BB471A"/>
    <w:rsid w:val="00BC4555"/>
    <w:rsid w:val="00BC4CAF"/>
    <w:rsid w:val="00BC5467"/>
    <w:rsid w:val="00BD24D3"/>
    <w:rsid w:val="00BD4ACF"/>
    <w:rsid w:val="00BE7F01"/>
    <w:rsid w:val="00BF0828"/>
    <w:rsid w:val="00C017E0"/>
    <w:rsid w:val="00C01A41"/>
    <w:rsid w:val="00C07871"/>
    <w:rsid w:val="00C1004C"/>
    <w:rsid w:val="00C15EDC"/>
    <w:rsid w:val="00C16D14"/>
    <w:rsid w:val="00C17D5F"/>
    <w:rsid w:val="00C20FAF"/>
    <w:rsid w:val="00C23109"/>
    <w:rsid w:val="00C35488"/>
    <w:rsid w:val="00C41B46"/>
    <w:rsid w:val="00C42537"/>
    <w:rsid w:val="00C6606B"/>
    <w:rsid w:val="00C849FB"/>
    <w:rsid w:val="00C86CA7"/>
    <w:rsid w:val="00C87D10"/>
    <w:rsid w:val="00C95AB0"/>
    <w:rsid w:val="00C97498"/>
    <w:rsid w:val="00C97D70"/>
    <w:rsid w:val="00CB0264"/>
    <w:rsid w:val="00CB10A4"/>
    <w:rsid w:val="00CB4B80"/>
    <w:rsid w:val="00CB6C0B"/>
    <w:rsid w:val="00CC534A"/>
    <w:rsid w:val="00CE229F"/>
    <w:rsid w:val="00CE32CD"/>
    <w:rsid w:val="00CE7F7A"/>
    <w:rsid w:val="00CF2608"/>
    <w:rsid w:val="00CF346A"/>
    <w:rsid w:val="00CF565F"/>
    <w:rsid w:val="00CF7204"/>
    <w:rsid w:val="00D0020D"/>
    <w:rsid w:val="00D1422F"/>
    <w:rsid w:val="00D16723"/>
    <w:rsid w:val="00D173B1"/>
    <w:rsid w:val="00D310CC"/>
    <w:rsid w:val="00D46071"/>
    <w:rsid w:val="00D5425C"/>
    <w:rsid w:val="00D7360F"/>
    <w:rsid w:val="00D757DD"/>
    <w:rsid w:val="00D7791F"/>
    <w:rsid w:val="00D81741"/>
    <w:rsid w:val="00D85FC7"/>
    <w:rsid w:val="00D9105A"/>
    <w:rsid w:val="00DA1B18"/>
    <w:rsid w:val="00DA30CE"/>
    <w:rsid w:val="00DB1E17"/>
    <w:rsid w:val="00DB58B9"/>
    <w:rsid w:val="00DC6B68"/>
    <w:rsid w:val="00DF71E5"/>
    <w:rsid w:val="00E0780C"/>
    <w:rsid w:val="00E07B3E"/>
    <w:rsid w:val="00E15FEB"/>
    <w:rsid w:val="00E17C27"/>
    <w:rsid w:val="00E25230"/>
    <w:rsid w:val="00E276A5"/>
    <w:rsid w:val="00E318C1"/>
    <w:rsid w:val="00E3217B"/>
    <w:rsid w:val="00E44E7F"/>
    <w:rsid w:val="00E46833"/>
    <w:rsid w:val="00E672D6"/>
    <w:rsid w:val="00E720AE"/>
    <w:rsid w:val="00E76DF3"/>
    <w:rsid w:val="00E8098C"/>
    <w:rsid w:val="00E82D53"/>
    <w:rsid w:val="00E846B6"/>
    <w:rsid w:val="00E85852"/>
    <w:rsid w:val="00E96030"/>
    <w:rsid w:val="00EA24D8"/>
    <w:rsid w:val="00EA5765"/>
    <w:rsid w:val="00EB346F"/>
    <w:rsid w:val="00EB492A"/>
    <w:rsid w:val="00EB4B56"/>
    <w:rsid w:val="00EB5BED"/>
    <w:rsid w:val="00EB7906"/>
    <w:rsid w:val="00EB7F56"/>
    <w:rsid w:val="00EC58F9"/>
    <w:rsid w:val="00EC731D"/>
    <w:rsid w:val="00ED23E5"/>
    <w:rsid w:val="00ED5968"/>
    <w:rsid w:val="00EE1FDB"/>
    <w:rsid w:val="00EF6FD6"/>
    <w:rsid w:val="00EF7FE8"/>
    <w:rsid w:val="00F0571F"/>
    <w:rsid w:val="00F057B5"/>
    <w:rsid w:val="00F06E62"/>
    <w:rsid w:val="00F13ED4"/>
    <w:rsid w:val="00F146BE"/>
    <w:rsid w:val="00F160CE"/>
    <w:rsid w:val="00F17AD0"/>
    <w:rsid w:val="00F31252"/>
    <w:rsid w:val="00F42D7F"/>
    <w:rsid w:val="00F4387E"/>
    <w:rsid w:val="00F513B0"/>
    <w:rsid w:val="00F615F4"/>
    <w:rsid w:val="00F7148B"/>
    <w:rsid w:val="00F71CDF"/>
    <w:rsid w:val="00F73004"/>
    <w:rsid w:val="00F80109"/>
    <w:rsid w:val="00F818DD"/>
    <w:rsid w:val="00F92955"/>
    <w:rsid w:val="00F94D7A"/>
    <w:rsid w:val="00F97D1E"/>
    <w:rsid w:val="00FA1114"/>
    <w:rsid w:val="00FA28B0"/>
    <w:rsid w:val="00FB041E"/>
    <w:rsid w:val="00FB0E4B"/>
    <w:rsid w:val="00FB2B10"/>
    <w:rsid w:val="00FB3DF7"/>
    <w:rsid w:val="00FC08AA"/>
    <w:rsid w:val="00FC5C4B"/>
    <w:rsid w:val="00FC7A16"/>
    <w:rsid w:val="00FD0D79"/>
    <w:rsid w:val="00FD7C95"/>
    <w:rsid w:val="00FE2199"/>
    <w:rsid w:val="00FE3500"/>
    <w:rsid w:val="00FE72E9"/>
    <w:rsid w:val="00FF0335"/>
    <w:rsid w:val="00FF39CB"/>
    <w:rsid w:val="00FF6D6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C9C0C0"/>
  <w15:chartTrackingRefBased/>
  <w15:docId w15:val="{9DAA78BA-6696-428E-9DE8-19C5FE5EB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7BA"/>
    <w:pPr>
      <w:spacing w:before="100" w:line="312" w:lineRule="auto"/>
    </w:pPr>
    <w:rPr>
      <w:rFonts w:ascii="Arial" w:eastAsia="Times New Roman" w:hAnsi="Arial"/>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37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C3B82"/>
    <w:pPr>
      <w:spacing w:before="0" w:line="240" w:lineRule="auto"/>
    </w:pPr>
    <w:rPr>
      <w:rFonts w:ascii="Tahoma" w:hAnsi="Tahoma"/>
      <w:sz w:val="16"/>
      <w:szCs w:val="16"/>
      <w:lang w:eastAsia="x-none"/>
    </w:rPr>
  </w:style>
  <w:style w:type="character" w:customStyle="1" w:styleId="BalloonTextChar">
    <w:name w:val="Balloon Text Char"/>
    <w:link w:val="BalloonText"/>
    <w:uiPriority w:val="99"/>
    <w:semiHidden/>
    <w:rsid w:val="000C3B82"/>
    <w:rPr>
      <w:rFonts w:ascii="Tahoma" w:eastAsia="Times New Roman" w:hAnsi="Tahoma" w:cs="Tahoma"/>
      <w:sz w:val="16"/>
      <w:szCs w:val="16"/>
      <w:lang w:val="en-AU"/>
    </w:rPr>
  </w:style>
  <w:style w:type="paragraph" w:styleId="Header">
    <w:name w:val="header"/>
    <w:basedOn w:val="Normal"/>
    <w:link w:val="HeaderChar"/>
    <w:uiPriority w:val="99"/>
    <w:unhideWhenUsed/>
    <w:rsid w:val="00F73004"/>
    <w:pPr>
      <w:tabs>
        <w:tab w:val="center" w:pos="4680"/>
        <w:tab w:val="right" w:pos="9360"/>
      </w:tabs>
    </w:pPr>
    <w:rPr>
      <w:lang w:eastAsia="x-none"/>
    </w:rPr>
  </w:style>
  <w:style w:type="character" w:customStyle="1" w:styleId="HeaderChar">
    <w:name w:val="Header Char"/>
    <w:link w:val="Header"/>
    <w:uiPriority w:val="99"/>
    <w:rsid w:val="00F73004"/>
    <w:rPr>
      <w:rFonts w:ascii="Arial" w:eastAsia="Times New Roman" w:hAnsi="Arial"/>
      <w:lang w:val="en-AU"/>
    </w:rPr>
  </w:style>
  <w:style w:type="paragraph" w:styleId="Footer">
    <w:name w:val="footer"/>
    <w:basedOn w:val="Normal"/>
    <w:link w:val="FooterChar"/>
    <w:uiPriority w:val="99"/>
    <w:unhideWhenUsed/>
    <w:rsid w:val="00F73004"/>
    <w:pPr>
      <w:tabs>
        <w:tab w:val="center" w:pos="4680"/>
        <w:tab w:val="right" w:pos="9360"/>
      </w:tabs>
    </w:pPr>
    <w:rPr>
      <w:lang w:eastAsia="x-none"/>
    </w:rPr>
  </w:style>
  <w:style w:type="character" w:customStyle="1" w:styleId="FooterChar">
    <w:name w:val="Footer Char"/>
    <w:link w:val="Footer"/>
    <w:uiPriority w:val="99"/>
    <w:rsid w:val="00F73004"/>
    <w:rPr>
      <w:rFonts w:ascii="Arial" w:eastAsia="Times New Roman" w:hAnsi="Arial"/>
      <w:lang w:val="en-AU"/>
    </w:rPr>
  </w:style>
  <w:style w:type="paragraph" w:styleId="ListParagraph">
    <w:name w:val="List Paragraph"/>
    <w:basedOn w:val="Normal"/>
    <w:uiPriority w:val="34"/>
    <w:qFormat/>
    <w:rsid w:val="00A51D51"/>
    <w:pPr>
      <w:ind w:left="720"/>
      <w:contextualSpacing/>
    </w:pPr>
  </w:style>
  <w:style w:type="paragraph" w:styleId="Revision">
    <w:name w:val="Revision"/>
    <w:hidden/>
    <w:uiPriority w:val="99"/>
    <w:semiHidden/>
    <w:rsid w:val="00A87008"/>
    <w:rPr>
      <w:rFonts w:ascii="Arial" w:eastAsia="Times New Roman" w:hAnsi="Arial"/>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g xmlns="44b6dc28-38b9-4c3d-8188-72e8df898508" xsi:nil="true"/>
    <DateandTime xmlns="44b6dc28-38b9-4c3d-8188-72e8df898508" xsi:nil="true"/>
    <Modifiedby xmlns="44b6dc28-38b9-4c3d-8188-72e8df898508">
      <UserInfo>
        <DisplayName/>
        <AccountId xsi:nil="true"/>
        <AccountType/>
      </UserInfo>
    </Modifiedby>
    <Number xmlns="44b6dc28-38b9-4c3d-8188-72e8df898508" xsi:nil="true"/>
    <lcf76f155ced4ddcb4097134ff3c332f xmlns="44b6dc28-38b9-4c3d-8188-72e8df898508">
      <Terms xmlns="http://schemas.microsoft.com/office/infopath/2007/PartnerControls"/>
    </lcf76f155ced4ddcb4097134ff3c332f>
    <TaxCatchAll xmlns="82a528c0-6475-453f-a81c-d84bf8e2e41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7B6268A93ADEE4BB89473EACEE30032" ma:contentTypeVersion="22" ma:contentTypeDescription="Create a new document." ma:contentTypeScope="" ma:versionID="efa8154f035710f6b40197cc81658043">
  <xsd:schema xmlns:xsd="http://www.w3.org/2001/XMLSchema" xmlns:xs="http://www.w3.org/2001/XMLSchema" xmlns:p="http://schemas.microsoft.com/office/2006/metadata/properties" xmlns:ns2="44b6dc28-38b9-4c3d-8188-72e8df898508" xmlns:ns3="82a528c0-6475-453f-a81c-d84bf8e2e41c" targetNamespace="http://schemas.microsoft.com/office/2006/metadata/properties" ma:root="true" ma:fieldsID="ab2efe6cabd424625bdf78b61e3ee2fd" ns2:_="" ns3:_="">
    <xsd:import namespace="44b6dc28-38b9-4c3d-8188-72e8df898508"/>
    <xsd:import namespace="82a528c0-6475-453f-a81c-d84bf8e2e41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g" minOccurs="0"/>
                <xsd:element ref="ns2:MediaLengthInSeconds" minOccurs="0"/>
                <xsd:element ref="ns2:DateandTime" minOccurs="0"/>
                <xsd:element ref="ns2:lcf76f155ced4ddcb4097134ff3c332f" minOccurs="0"/>
                <xsd:element ref="ns3:TaxCatchAll" minOccurs="0"/>
                <xsd:element ref="ns2:MediaServiceObjectDetectorVersions" minOccurs="0"/>
                <xsd:element ref="ns2:Number" minOccurs="0"/>
                <xsd:element ref="ns2:MediaServiceSearchProperties" minOccurs="0"/>
                <xsd:element ref="ns2:Modifi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b6dc28-38b9-4c3d-8188-72e8df8985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g" ma:index="20" nillable="true" ma:displayName="g" ma:format="DateOnly" ma:internalName="g">
      <xsd:simpleType>
        <xsd:restriction base="dms:DateTime"/>
      </xsd:simpleType>
    </xsd:element>
    <xsd:element name="MediaLengthInSeconds" ma:index="21" nillable="true" ma:displayName="Length (seconds)" ma:internalName="MediaLengthInSeconds" ma:readOnly="true">
      <xsd:simpleType>
        <xsd:restriction base="dms:Unknown"/>
      </xsd:simpleType>
    </xsd:element>
    <xsd:element name="DateandTime" ma:index="22" nillable="true" ma:displayName="Date and Time" ma:format="DateTime" ma:internalName="DateandTime">
      <xsd:simpleType>
        <xsd:restriction base="dms:DateTime"/>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77b78dba-fafd-4788-8a6b-87b92087b1a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Number" ma:index="27" nillable="true" ma:displayName="Number" ma:internalName="Number">
      <xsd:simpleType>
        <xsd:restriction base="dms:Number"/>
      </xsd:simpleType>
    </xsd:element>
    <xsd:element name="MediaServiceSearchProperties" ma:index="28" nillable="true" ma:displayName="MediaServiceSearchProperties" ma:hidden="true" ma:internalName="MediaServiceSearchProperties" ma:readOnly="true">
      <xsd:simpleType>
        <xsd:restriction base="dms:Note"/>
      </xsd:simpleType>
    </xsd:element>
    <xsd:element name="Modifiedby" ma:index="29" nillable="true" ma:displayName="Modified by" ma:format="Dropdown" ma:list="UserInfo" ma:SharePointGroup="0" ma:internalName="Modifi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2a528c0-6475-453f-a81c-d84bf8e2e41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c46540b4-f350-4e89-a664-b7c01ee12e43}" ma:internalName="TaxCatchAll" ma:showField="CatchAllData" ma:web="82a528c0-6475-453f-a81c-d84bf8e2e41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32FDEC-F681-42CB-910C-8105489BDE67}">
  <ds:schemaRefs>
    <ds:schemaRef ds:uri="http://schemas.microsoft.com/sharepoint/v3/contenttype/forms"/>
  </ds:schemaRefs>
</ds:datastoreItem>
</file>

<file path=customXml/itemProps2.xml><?xml version="1.0" encoding="utf-8"?>
<ds:datastoreItem xmlns:ds="http://schemas.openxmlformats.org/officeDocument/2006/customXml" ds:itemID="{9A8C0FC1-3B00-4049-B1F0-ECCC4C3F61B1}">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82a528c0-6475-453f-a81c-d84bf8e2e41c"/>
    <ds:schemaRef ds:uri="http://schemas.microsoft.com/office/2006/documentManagement/types"/>
    <ds:schemaRef ds:uri="44b6dc28-38b9-4c3d-8188-72e8df898508"/>
    <ds:schemaRef ds:uri="http://www.w3.org/XML/1998/namespace"/>
  </ds:schemaRefs>
</ds:datastoreItem>
</file>

<file path=customXml/itemProps3.xml><?xml version="1.0" encoding="utf-8"?>
<ds:datastoreItem xmlns:ds="http://schemas.openxmlformats.org/officeDocument/2006/customXml" ds:itemID="{921AF437-8C2C-4E8F-A6E3-FCCF94F462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b6dc28-38b9-4c3d-8188-72e8df898508"/>
    <ds:schemaRef ds:uri="82a528c0-6475-453f-a81c-d84bf8e2e4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ABNR</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ABNR</dc:creator>
  <cp:keywords/>
  <cp:lastModifiedBy>ABNR</cp:lastModifiedBy>
  <cp:revision>29</cp:revision>
  <cp:lastPrinted>2018-08-13T05:46:00Z</cp:lastPrinted>
  <dcterms:created xsi:type="dcterms:W3CDTF">2024-05-14T08:46:00Z</dcterms:created>
  <dcterms:modified xsi:type="dcterms:W3CDTF">2024-05-16T09:20:00Z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0x01010007B6268A93ADEE4BB89473EACEE30032</vt:lpwstr>
  </property>
  <property fmtid="{D5CDD505-2E9C-101B-9397-08002B2CF9AE}" pid="3" name="MediaServiceImageTags">
    <vt:lpwstr/>
  </property>
  <property fmtid="{D5CDD505-2E9C-101B-9397-08002B2CF9AE}" pid="4" name="GrammarlyDocumentId">
    <vt:lpwstr>6ff5d2fbeaed163cd625f08a6d8b68b45a2e906619f073765f0da3ae8bf2454e</vt:lpwstr>
  </property>
</Properties>
</file>