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EA93" w14:textId="77777777" w:rsidR="004315F2" w:rsidRPr="00AA2307" w:rsidRDefault="004315F2">
      <w:pPr>
        <w:widowControl w:val="0"/>
        <w:pBdr>
          <w:top w:val="nil"/>
          <w:left w:val="nil"/>
          <w:bottom w:val="nil"/>
          <w:right w:val="nil"/>
          <w:between w:val="nil"/>
        </w:pBdr>
        <w:spacing w:after="0" w:line="276" w:lineRule="auto"/>
        <w:rPr>
          <w:rFonts w:ascii="Times New Roman" w:eastAsia="Arial" w:hAnsi="Times New Roman" w:cs="Times New Roman"/>
          <w:color w:val="000000"/>
          <w:highlight w:val="white"/>
          <w:lang w:val="id-ID"/>
        </w:rPr>
      </w:pPr>
    </w:p>
    <w:tbl>
      <w:tblPr>
        <w:tblStyle w:val="a"/>
        <w:tblW w:w="9435" w:type="dxa"/>
        <w:tblBorders>
          <w:top w:val="nil"/>
          <w:left w:val="nil"/>
          <w:bottom w:val="nil"/>
          <w:right w:val="nil"/>
          <w:insideH w:val="nil"/>
          <w:insideV w:val="nil"/>
        </w:tblBorders>
        <w:tblLayout w:type="fixed"/>
        <w:tblLook w:val="0400" w:firstRow="0" w:lastRow="0" w:firstColumn="0" w:lastColumn="0" w:noHBand="0" w:noVBand="1"/>
      </w:tblPr>
      <w:tblGrid>
        <w:gridCol w:w="9435"/>
      </w:tblGrid>
      <w:tr w:rsidR="004315F2" w:rsidRPr="00AA2307" w14:paraId="6AF74B30" w14:textId="77777777">
        <w:tc>
          <w:tcPr>
            <w:tcW w:w="9435" w:type="dxa"/>
          </w:tcPr>
          <w:p w14:paraId="4BF3BB8B" w14:textId="0A546409" w:rsidR="004315F2" w:rsidRPr="00AA2307" w:rsidRDefault="00000000" w:rsidP="00954334">
            <w:pPr>
              <w:jc w:val="center"/>
              <w:rPr>
                <w:rFonts w:ascii="Times New Roman" w:eastAsia="Arial" w:hAnsi="Times New Roman" w:cs="Times New Roman"/>
                <w:b/>
                <w:highlight w:val="white"/>
                <w:lang w:val="id-ID"/>
              </w:rPr>
            </w:pPr>
            <w:r w:rsidRPr="00AA2307">
              <w:rPr>
                <w:rFonts w:ascii="Times New Roman" w:eastAsia="Arial" w:hAnsi="Times New Roman" w:cs="Times New Roman"/>
                <w:b/>
                <w:highlight w:val="white"/>
                <w:lang w:val="id-ID"/>
              </w:rPr>
              <w:t xml:space="preserve">KEPUTUSAN DEWAN KOMISARIS  </w:t>
            </w:r>
          </w:p>
          <w:p w14:paraId="606EB0AA" w14:textId="152D7109" w:rsidR="004315F2" w:rsidRPr="00AA2307" w:rsidRDefault="00000000">
            <w:pPr>
              <w:jc w:val="center"/>
              <w:rPr>
                <w:rFonts w:ascii="Times New Roman" w:eastAsia="Arial" w:hAnsi="Times New Roman" w:cs="Times New Roman"/>
                <w:b/>
                <w:highlight w:val="white"/>
                <w:lang w:val="id-ID"/>
              </w:rPr>
            </w:pPr>
            <w:r w:rsidRPr="00AA2307">
              <w:rPr>
                <w:rFonts w:ascii="Times New Roman" w:eastAsia="Arial" w:hAnsi="Times New Roman" w:cs="Times New Roman"/>
                <w:b/>
                <w:highlight w:val="white"/>
                <w:lang w:val="id-ID"/>
              </w:rPr>
              <w:t xml:space="preserve">PT </w:t>
            </w:r>
            <w:r w:rsidR="00954334" w:rsidRPr="00AA2307">
              <w:rPr>
                <w:rFonts w:ascii="Times New Roman" w:eastAsia="Arial" w:hAnsi="Times New Roman" w:cs="Times New Roman"/>
                <w:b/>
                <w:highlight w:val="white"/>
                <w:lang w:val="id-ID"/>
              </w:rPr>
              <w:t>PRIMA CAKRAWALA INDONESIA</w:t>
            </w:r>
          </w:p>
          <w:p w14:paraId="117C5C8D" w14:textId="77777777" w:rsidR="004315F2" w:rsidRPr="00AA2307" w:rsidRDefault="00000000">
            <w:pPr>
              <w:jc w:val="center"/>
              <w:rPr>
                <w:rFonts w:ascii="Times New Roman" w:eastAsia="Arial" w:hAnsi="Times New Roman" w:cs="Times New Roman"/>
                <w:b/>
                <w:highlight w:val="white"/>
                <w:lang w:val="id-ID"/>
              </w:rPr>
            </w:pPr>
            <w:r w:rsidRPr="00AA2307">
              <w:rPr>
                <w:rFonts w:ascii="Times New Roman" w:eastAsia="Arial" w:hAnsi="Times New Roman" w:cs="Times New Roman"/>
                <w:b/>
                <w:highlight w:val="white"/>
                <w:lang w:val="id-ID"/>
              </w:rPr>
              <w:t>(“KEPUTUSAN SIRKULER”)</w:t>
            </w:r>
          </w:p>
        </w:tc>
      </w:tr>
      <w:tr w:rsidR="004315F2" w:rsidRPr="00AA2307" w14:paraId="6FC9691B" w14:textId="77777777">
        <w:tc>
          <w:tcPr>
            <w:tcW w:w="9435" w:type="dxa"/>
          </w:tcPr>
          <w:p w14:paraId="2C0C5298" w14:textId="77777777" w:rsidR="004315F2" w:rsidRPr="00AA2307" w:rsidRDefault="004315F2">
            <w:pPr>
              <w:rPr>
                <w:rFonts w:ascii="Times New Roman" w:eastAsia="Arial" w:hAnsi="Times New Roman" w:cs="Times New Roman"/>
                <w:highlight w:val="white"/>
                <w:lang w:val="id-ID"/>
              </w:rPr>
            </w:pPr>
          </w:p>
        </w:tc>
      </w:tr>
      <w:tr w:rsidR="004315F2" w:rsidRPr="00AA2307" w14:paraId="470DED7E" w14:textId="77777777">
        <w:tc>
          <w:tcPr>
            <w:tcW w:w="9435" w:type="dxa"/>
          </w:tcPr>
          <w:p w14:paraId="1CD2337C" w14:textId="607858C6" w:rsidR="004315F2" w:rsidRPr="00AA2307" w:rsidRDefault="00954334">
            <w:pPr>
              <w:jc w:val="both"/>
              <w:rPr>
                <w:rFonts w:ascii="Times New Roman" w:eastAsia="Arial" w:hAnsi="Times New Roman" w:cs="Times New Roman"/>
                <w:highlight w:val="white"/>
                <w:lang w:val="id-ID"/>
              </w:rPr>
            </w:pPr>
            <w:r w:rsidRPr="00AA2307">
              <w:rPr>
                <w:rFonts w:ascii="Times New Roman" w:eastAsia="Arial" w:hAnsi="Times New Roman" w:cs="Times New Roman"/>
                <w:highlight w:val="white"/>
                <w:lang w:val="id-ID"/>
              </w:rPr>
              <w:t xml:space="preserve">Yang bertandatangan di bawah ini, selaku satu-satunya Komisaris </w:t>
            </w:r>
            <w:r w:rsidRPr="00AA2307">
              <w:rPr>
                <w:rFonts w:ascii="Times New Roman" w:eastAsia="Arial" w:hAnsi="Times New Roman" w:cs="Times New Roman"/>
                <w:b/>
                <w:color w:val="000000"/>
                <w:highlight w:val="white"/>
                <w:lang w:val="id-ID"/>
              </w:rPr>
              <w:t xml:space="preserve">PT Prima Cakrawala Indonesia </w:t>
            </w:r>
            <w:r w:rsidRPr="00AA2307">
              <w:rPr>
                <w:rFonts w:ascii="Times New Roman" w:eastAsia="Arial" w:hAnsi="Times New Roman" w:cs="Times New Roman"/>
                <w:color w:val="000000"/>
                <w:highlight w:val="white"/>
                <w:lang w:val="id-ID"/>
              </w:rPr>
              <w:t>("</w:t>
            </w:r>
            <w:r w:rsidRPr="00AA2307">
              <w:rPr>
                <w:rFonts w:ascii="Times New Roman" w:eastAsia="Arial" w:hAnsi="Times New Roman" w:cs="Times New Roman"/>
                <w:b/>
                <w:color w:val="000000"/>
                <w:highlight w:val="white"/>
                <w:lang w:val="id-ID"/>
              </w:rPr>
              <w:t>Perseroan</w:t>
            </w:r>
            <w:r w:rsidRPr="00AA2307">
              <w:rPr>
                <w:rFonts w:ascii="Times New Roman" w:eastAsia="Arial" w:hAnsi="Times New Roman" w:cs="Times New Roman"/>
                <w:color w:val="000000"/>
                <w:highlight w:val="white"/>
                <w:lang w:val="id-ID"/>
              </w:rPr>
              <w:t>"):</w:t>
            </w:r>
          </w:p>
        </w:tc>
      </w:tr>
      <w:tr w:rsidR="004315F2" w:rsidRPr="00AA2307" w14:paraId="12E1DF5A" w14:textId="77777777">
        <w:tc>
          <w:tcPr>
            <w:tcW w:w="9435" w:type="dxa"/>
          </w:tcPr>
          <w:p w14:paraId="7C5CE59E" w14:textId="77777777" w:rsidR="004315F2" w:rsidRPr="00AA2307" w:rsidRDefault="004315F2">
            <w:pPr>
              <w:jc w:val="both"/>
              <w:rPr>
                <w:rFonts w:ascii="Times New Roman" w:eastAsia="Arial" w:hAnsi="Times New Roman" w:cs="Times New Roman"/>
                <w:highlight w:val="white"/>
                <w:lang w:val="id-ID"/>
              </w:rPr>
            </w:pPr>
          </w:p>
        </w:tc>
      </w:tr>
      <w:tr w:rsidR="004315F2" w:rsidRPr="00AA2307" w14:paraId="502D0891" w14:textId="77777777">
        <w:tc>
          <w:tcPr>
            <w:tcW w:w="9435" w:type="dxa"/>
          </w:tcPr>
          <w:p w14:paraId="7E424A65" w14:textId="1D640108" w:rsidR="004315F2" w:rsidRPr="00AA2307" w:rsidRDefault="00954334" w:rsidP="00611B7F">
            <w:pPr>
              <w:pBdr>
                <w:top w:val="nil"/>
                <w:left w:val="nil"/>
                <w:bottom w:val="nil"/>
                <w:right w:val="nil"/>
                <w:between w:val="nil"/>
              </w:pBdr>
              <w:spacing w:after="160" w:line="259" w:lineRule="auto"/>
              <w:jc w:val="both"/>
              <w:rPr>
                <w:rFonts w:ascii="Times New Roman" w:eastAsia="Arial" w:hAnsi="Times New Roman" w:cs="Times New Roman"/>
                <w:color w:val="000000"/>
                <w:highlight w:val="white"/>
                <w:lang w:val="id-ID"/>
              </w:rPr>
            </w:pPr>
            <w:r w:rsidRPr="00AA2307">
              <w:rPr>
                <w:rFonts w:ascii="Times New Roman" w:eastAsia="Arial" w:hAnsi="Times New Roman" w:cs="Times New Roman"/>
                <w:b/>
                <w:highlight w:val="white"/>
                <w:lang w:val="id-ID"/>
              </w:rPr>
              <w:t xml:space="preserve">HARINO, </w:t>
            </w:r>
            <w:r w:rsidRPr="00AA2307">
              <w:rPr>
                <w:rFonts w:ascii="Times New Roman" w:eastAsia="Arial" w:hAnsi="Times New Roman" w:cs="Times New Roman"/>
                <w:highlight w:val="white"/>
                <w:lang w:val="id-ID"/>
              </w:rPr>
              <w:t xml:space="preserve">warga negara Indonesia, pemegang Kartu Tanda Penduduk dengan Nomor Induk Kependudukan </w:t>
            </w:r>
            <w:r w:rsidRPr="00AA2307">
              <w:rPr>
                <w:rFonts w:ascii="Times New Roman" w:eastAsia="Arial" w:hAnsi="Times New Roman" w:cs="Times New Roman"/>
                <w:lang w:val="id-ID"/>
              </w:rPr>
              <w:t>3174100312500005</w:t>
            </w:r>
            <w:r w:rsidR="00744283">
              <w:rPr>
                <w:rFonts w:ascii="Times New Roman" w:eastAsia="Arial" w:hAnsi="Times New Roman" w:cs="Times New Roman"/>
                <w:color w:val="000000"/>
                <w:highlight w:val="white"/>
                <w:lang w:val="id-ID"/>
              </w:rPr>
              <w:t xml:space="preserve"> </w:t>
            </w:r>
            <w:r w:rsidR="00744283" w:rsidRPr="00AA2307">
              <w:rPr>
                <w:rFonts w:ascii="Times New Roman" w:eastAsia="Arial" w:hAnsi="Times New Roman" w:cs="Times New Roman"/>
                <w:highlight w:val="white"/>
                <w:lang w:val="id-ID"/>
              </w:rPr>
              <w:t>(untuk selanjutnya disebut sebagai “</w:t>
            </w:r>
            <w:r w:rsidR="00744283" w:rsidRPr="00AA2307">
              <w:rPr>
                <w:rFonts w:ascii="Times New Roman" w:eastAsia="Arial" w:hAnsi="Times New Roman" w:cs="Times New Roman"/>
                <w:b/>
                <w:highlight w:val="white"/>
                <w:lang w:val="id-ID"/>
              </w:rPr>
              <w:t>Dewan Komisaris</w:t>
            </w:r>
            <w:r w:rsidR="00744283" w:rsidRPr="00AA2307">
              <w:rPr>
                <w:rFonts w:ascii="Times New Roman" w:eastAsia="Arial" w:hAnsi="Times New Roman" w:cs="Times New Roman"/>
                <w:highlight w:val="white"/>
                <w:lang w:val="id-ID"/>
              </w:rPr>
              <w:t>”)</w:t>
            </w:r>
            <w:r w:rsidR="00744283">
              <w:rPr>
                <w:rFonts w:ascii="Times New Roman" w:eastAsia="Arial" w:hAnsi="Times New Roman" w:cs="Times New Roman"/>
                <w:highlight w:val="white"/>
                <w:lang w:val="id-ID"/>
              </w:rPr>
              <w:t>.</w:t>
            </w:r>
            <w:r w:rsidRPr="00AA2307">
              <w:rPr>
                <w:rFonts w:ascii="Times New Roman" w:eastAsia="Arial" w:hAnsi="Times New Roman" w:cs="Times New Roman"/>
                <w:color w:val="000000"/>
                <w:highlight w:val="white"/>
                <w:lang w:val="id-ID"/>
              </w:rPr>
              <w:t xml:space="preserve"> </w:t>
            </w:r>
          </w:p>
        </w:tc>
      </w:tr>
      <w:tr w:rsidR="004315F2" w:rsidRPr="00AA2307" w14:paraId="57B52245" w14:textId="77777777">
        <w:tc>
          <w:tcPr>
            <w:tcW w:w="9435" w:type="dxa"/>
          </w:tcPr>
          <w:p w14:paraId="2078DCA3" w14:textId="77777777" w:rsidR="004315F2" w:rsidRPr="00AA2307" w:rsidRDefault="004315F2">
            <w:pPr>
              <w:jc w:val="both"/>
              <w:rPr>
                <w:rFonts w:ascii="Times New Roman" w:eastAsia="Arial" w:hAnsi="Times New Roman" w:cs="Times New Roman"/>
                <w:highlight w:val="white"/>
                <w:lang w:val="id-ID"/>
              </w:rPr>
            </w:pPr>
          </w:p>
        </w:tc>
      </w:tr>
      <w:tr w:rsidR="004315F2" w:rsidRPr="00AA2307" w14:paraId="59A0515B" w14:textId="77777777">
        <w:tc>
          <w:tcPr>
            <w:tcW w:w="9435" w:type="dxa"/>
          </w:tcPr>
          <w:p w14:paraId="5AF08EBA" w14:textId="77777777" w:rsidR="004315F2" w:rsidRPr="00AA2307" w:rsidRDefault="00000000">
            <w:pPr>
              <w:jc w:val="both"/>
              <w:rPr>
                <w:rFonts w:ascii="Times New Roman" w:eastAsia="Arial" w:hAnsi="Times New Roman" w:cs="Times New Roman"/>
                <w:highlight w:val="white"/>
                <w:lang w:val="id-ID"/>
              </w:rPr>
            </w:pPr>
            <w:r w:rsidRPr="00AA2307">
              <w:rPr>
                <w:rFonts w:ascii="Times New Roman" w:eastAsia="Arial" w:hAnsi="Times New Roman" w:cs="Times New Roman"/>
                <w:b/>
                <w:highlight w:val="white"/>
                <w:lang w:val="id-ID"/>
              </w:rPr>
              <w:t>TERLEBIH DAHULU MENJELASKAN</w:t>
            </w:r>
            <w:r w:rsidRPr="00AA2307">
              <w:rPr>
                <w:rFonts w:ascii="Times New Roman" w:eastAsia="Arial" w:hAnsi="Times New Roman" w:cs="Times New Roman"/>
                <w:highlight w:val="white"/>
                <w:lang w:val="id-ID"/>
              </w:rPr>
              <w:t xml:space="preserve"> sebagai berikut:</w:t>
            </w:r>
          </w:p>
        </w:tc>
      </w:tr>
      <w:tr w:rsidR="004315F2" w:rsidRPr="00AA2307" w14:paraId="0ED12C7A" w14:textId="77777777">
        <w:tc>
          <w:tcPr>
            <w:tcW w:w="9435" w:type="dxa"/>
          </w:tcPr>
          <w:p w14:paraId="765DFD73" w14:textId="77777777" w:rsidR="004315F2" w:rsidRPr="00AA2307" w:rsidRDefault="004315F2">
            <w:pPr>
              <w:rPr>
                <w:rFonts w:ascii="Times New Roman" w:eastAsia="Arial" w:hAnsi="Times New Roman" w:cs="Times New Roman"/>
                <w:highlight w:val="white"/>
                <w:lang w:val="id-ID"/>
              </w:rPr>
            </w:pPr>
          </w:p>
        </w:tc>
      </w:tr>
      <w:tr w:rsidR="004315F2" w:rsidRPr="00AA2307" w14:paraId="7C1DCAAB" w14:textId="77777777">
        <w:tc>
          <w:tcPr>
            <w:tcW w:w="9435" w:type="dxa"/>
          </w:tcPr>
          <w:p w14:paraId="107657A1" w14:textId="5AB7C23C" w:rsidR="004315F2" w:rsidRPr="00AA2307" w:rsidRDefault="00F41EF9" w:rsidP="00BB4A8A">
            <w:pPr>
              <w:numPr>
                <w:ilvl w:val="0"/>
                <w:numId w:val="1"/>
              </w:numPr>
              <w:pBdr>
                <w:top w:val="nil"/>
                <w:left w:val="nil"/>
                <w:bottom w:val="nil"/>
                <w:right w:val="nil"/>
                <w:between w:val="nil"/>
              </w:pBdr>
              <w:jc w:val="both"/>
              <w:rPr>
                <w:rFonts w:ascii="Times New Roman" w:eastAsia="Arial" w:hAnsi="Times New Roman" w:cs="Times New Roman"/>
                <w:highlight w:val="white"/>
                <w:lang w:val="id-ID"/>
              </w:rPr>
            </w:pPr>
            <w:r w:rsidRPr="00AA2307">
              <w:rPr>
                <w:rFonts w:ascii="Times New Roman" w:eastAsia="Arial" w:hAnsi="Times New Roman" w:cs="Times New Roman"/>
                <w:color w:val="000000"/>
                <w:highlight w:val="white"/>
                <w:lang w:val="id-ID"/>
              </w:rPr>
              <w:t>Bahwa b</w:t>
            </w:r>
            <w:r w:rsidR="00BB4A8A" w:rsidRPr="00AA2307">
              <w:rPr>
                <w:rFonts w:ascii="Times New Roman" w:eastAsia="Arial" w:hAnsi="Times New Roman" w:cs="Times New Roman"/>
                <w:color w:val="000000"/>
                <w:highlight w:val="white"/>
                <w:lang w:val="id-ID"/>
              </w:rPr>
              <w:t xml:space="preserve">erdasarkan Pasal 12 dari Anggaran Dasar </w:t>
            </w:r>
            <w:r w:rsidRPr="00AA2307">
              <w:rPr>
                <w:rFonts w:ascii="Times New Roman" w:eastAsia="Arial" w:hAnsi="Times New Roman" w:cs="Times New Roman"/>
                <w:color w:val="000000"/>
                <w:highlight w:val="white"/>
                <w:lang w:val="id-ID"/>
              </w:rPr>
              <w:t>Perseroan</w:t>
            </w:r>
            <w:r w:rsidR="00BB4A8A" w:rsidRPr="00AA2307">
              <w:rPr>
                <w:rFonts w:ascii="Times New Roman" w:eastAsia="Arial" w:hAnsi="Times New Roman" w:cs="Times New Roman"/>
                <w:color w:val="000000"/>
                <w:highlight w:val="white"/>
                <w:lang w:val="id-ID"/>
              </w:rPr>
              <w:t xml:space="preserve"> yang tertuang di Akta Pendirian Perseroan Terbatas Perseroan No. 28 tanggal 11 Juni 2024, yang dibuat di hadapan Anesta Chrisanti, S.H., M.Kn, Notaris di Depok, sebagaimana telah disahkan oleh Menteri Hukum dan Hak Asasi Manusia melalui keputusannya No. AHU-0042432.AH.01.01.TAHUN 2024, tanggal 11 Juni 2024, Direksi Perseroan harus mendapatkan persetujuan dari Dewan Komisaris untuk mendirikan suatu usaha baru atau turut serta pada perusahaan lain baik di dalam maupun di luar negeri;</w:t>
            </w:r>
            <w:r w:rsidR="004612B3" w:rsidRPr="00AA2307">
              <w:rPr>
                <w:rFonts w:ascii="Times New Roman" w:eastAsia="Arial" w:hAnsi="Times New Roman" w:cs="Times New Roman"/>
                <w:color w:val="000000"/>
                <w:highlight w:val="white"/>
                <w:lang w:val="id-ID"/>
              </w:rPr>
              <w:t xml:space="preserve"> dan</w:t>
            </w:r>
          </w:p>
          <w:p w14:paraId="722121E2" w14:textId="66A88FDE" w:rsidR="00BB4A8A" w:rsidRPr="00AA2307" w:rsidRDefault="00BB4A8A" w:rsidP="00BB4A8A">
            <w:pPr>
              <w:pBdr>
                <w:top w:val="nil"/>
                <w:left w:val="nil"/>
                <w:bottom w:val="nil"/>
                <w:right w:val="nil"/>
                <w:between w:val="nil"/>
              </w:pBdr>
              <w:ind w:left="720"/>
              <w:jc w:val="both"/>
              <w:rPr>
                <w:rFonts w:ascii="Times New Roman" w:eastAsia="Arial" w:hAnsi="Times New Roman" w:cs="Times New Roman"/>
                <w:highlight w:val="white"/>
                <w:lang w:val="id-ID"/>
              </w:rPr>
            </w:pPr>
          </w:p>
        </w:tc>
      </w:tr>
      <w:tr w:rsidR="004315F2" w:rsidRPr="00AA2307" w14:paraId="117D30E0" w14:textId="77777777">
        <w:tc>
          <w:tcPr>
            <w:tcW w:w="9435" w:type="dxa"/>
          </w:tcPr>
          <w:p w14:paraId="2C5E64A6" w14:textId="18EA7891" w:rsidR="004873FA" w:rsidRPr="00AA2307" w:rsidRDefault="00A82884" w:rsidP="008C068B">
            <w:pPr>
              <w:numPr>
                <w:ilvl w:val="0"/>
                <w:numId w:val="1"/>
              </w:numPr>
              <w:pBdr>
                <w:top w:val="nil"/>
                <w:left w:val="nil"/>
                <w:bottom w:val="nil"/>
                <w:right w:val="nil"/>
                <w:between w:val="nil"/>
              </w:pBdr>
              <w:spacing w:line="259" w:lineRule="auto"/>
              <w:jc w:val="both"/>
              <w:rPr>
                <w:rFonts w:ascii="Times New Roman" w:eastAsia="Arial" w:hAnsi="Times New Roman" w:cs="Times New Roman"/>
                <w:highlight w:val="white"/>
                <w:lang w:val="id-ID"/>
              </w:rPr>
            </w:pPr>
            <w:r w:rsidRPr="00A82884">
              <w:rPr>
                <w:rFonts w:ascii="Times New Roman" w:eastAsia="Arial" w:hAnsi="Times New Roman" w:cs="Times New Roman"/>
                <w:lang w:val="id-ID"/>
              </w:rPr>
              <w:t>Bahwa Direksi Perseroan berencana untuk melakukan penyertaan pada PT Regene Artifisial Inteligen (“</w:t>
            </w:r>
            <w:r w:rsidRPr="001C089C">
              <w:rPr>
                <w:rFonts w:ascii="Times New Roman" w:eastAsia="Arial" w:hAnsi="Times New Roman" w:cs="Times New Roman"/>
                <w:b/>
                <w:bCs/>
                <w:lang w:val="id-ID"/>
              </w:rPr>
              <w:t>Regene</w:t>
            </w:r>
            <w:r w:rsidRPr="00A82884">
              <w:rPr>
                <w:rFonts w:ascii="Times New Roman" w:eastAsia="Arial" w:hAnsi="Times New Roman" w:cs="Times New Roman"/>
                <w:lang w:val="id-ID"/>
              </w:rPr>
              <w:t>”) hingga sebesar 20% dari total saham Regene, yang didapatkan melalui</w:t>
            </w:r>
            <w:r w:rsidR="004873FA" w:rsidRPr="00AA2307">
              <w:rPr>
                <w:rFonts w:ascii="Times New Roman" w:eastAsia="Arial" w:hAnsi="Times New Roman" w:cs="Times New Roman"/>
                <w:highlight w:val="white"/>
                <w:lang w:val="id-ID"/>
              </w:rPr>
              <w:t>:</w:t>
            </w:r>
          </w:p>
          <w:p w14:paraId="0EF4747D" w14:textId="50A55FE2" w:rsidR="004873FA" w:rsidRPr="00AA2307" w:rsidRDefault="001C089C" w:rsidP="008C068B">
            <w:pPr>
              <w:pStyle w:val="ListParagraph"/>
              <w:numPr>
                <w:ilvl w:val="0"/>
                <w:numId w:val="11"/>
              </w:numPr>
              <w:pBdr>
                <w:top w:val="nil"/>
                <w:left w:val="nil"/>
                <w:bottom w:val="nil"/>
                <w:right w:val="nil"/>
                <w:between w:val="nil"/>
              </w:pBdr>
              <w:jc w:val="both"/>
              <w:rPr>
                <w:rFonts w:ascii="Times New Roman" w:eastAsia="Arial" w:hAnsi="Times New Roman" w:cs="Times New Roman"/>
                <w:highlight w:val="white"/>
                <w:lang w:val="id-ID"/>
              </w:rPr>
            </w:pPr>
            <w:r w:rsidRPr="002D32CC">
              <w:rPr>
                <w:rFonts w:ascii="Times New Roman" w:eastAsia="Arial" w:hAnsi="Times New Roman" w:cs="Times New Roman"/>
                <w:highlight w:val="white"/>
                <w:lang w:val="id-ID"/>
              </w:rPr>
              <w:t xml:space="preserve">penyertaan modal ditempatkan dan modal disetor sebesar </w:t>
            </w:r>
            <w:r w:rsidRPr="002D32CC">
              <w:rPr>
                <w:rFonts w:ascii="Times New Roman" w:eastAsia="Arial" w:hAnsi="Times New Roman" w:cs="Times New Roman"/>
                <w:color w:val="000000"/>
                <w:lang w:val="id-ID"/>
              </w:rPr>
              <w:t xml:space="preserve">Rp 12.506.730.000 (dua </w:t>
            </w:r>
            <w:r w:rsidRPr="002D32CC">
              <w:rPr>
                <w:rFonts w:ascii="Times New Roman" w:eastAsia="Arial" w:hAnsi="Times New Roman" w:cs="Times New Roman"/>
                <w:bCs/>
                <w:color w:val="000000"/>
                <w:highlight w:val="white"/>
                <w:lang w:val="id-ID"/>
              </w:rPr>
              <w:t>belas</w:t>
            </w:r>
            <w:r w:rsidRPr="002D32CC">
              <w:rPr>
                <w:rFonts w:ascii="Times New Roman" w:eastAsia="Arial" w:hAnsi="Times New Roman" w:cs="Times New Roman"/>
                <w:color w:val="000000"/>
                <w:lang w:val="id-ID"/>
              </w:rPr>
              <w:t xml:space="preserve"> miliar lima ratus enam juta tujuh ratus tiga puluh ribu Rupiah) untuk memperoleh </w:t>
            </w:r>
            <w:r w:rsidRPr="002D32CC">
              <w:rPr>
                <w:rFonts w:ascii="Times New Roman" w:eastAsia="Arial" w:hAnsi="Times New Roman" w:cs="Times New Roman"/>
                <w:highlight w:val="white"/>
                <w:lang w:val="id-ID"/>
              </w:rPr>
              <w:t xml:space="preserve">152.150 </w:t>
            </w:r>
            <w:r w:rsidRPr="002D32CC">
              <w:rPr>
                <w:rFonts w:ascii="Times New Roman" w:eastAsia="Arial" w:hAnsi="Times New Roman" w:cs="Times New Roman"/>
                <w:color w:val="000000"/>
                <w:highlight w:val="white"/>
                <w:lang w:val="id-ID"/>
              </w:rPr>
              <w:t>(seratus lima puluh dua ribu seratus lima puluh) saham preferen seri C; dan</w:t>
            </w:r>
          </w:p>
          <w:p w14:paraId="3C655AD4" w14:textId="2E021146" w:rsidR="004873FA" w:rsidRPr="00AA2307" w:rsidRDefault="001C089C" w:rsidP="004873FA">
            <w:pPr>
              <w:pStyle w:val="ListParagraph"/>
              <w:numPr>
                <w:ilvl w:val="0"/>
                <w:numId w:val="11"/>
              </w:numPr>
              <w:pBdr>
                <w:top w:val="nil"/>
                <w:left w:val="nil"/>
                <w:bottom w:val="nil"/>
                <w:right w:val="nil"/>
                <w:between w:val="nil"/>
              </w:pBdr>
              <w:jc w:val="both"/>
              <w:rPr>
                <w:rFonts w:ascii="Times New Roman" w:eastAsia="Arial" w:hAnsi="Times New Roman" w:cs="Times New Roman"/>
                <w:highlight w:val="white"/>
                <w:lang w:val="id-ID"/>
              </w:rPr>
            </w:pPr>
            <w:r w:rsidRPr="002D32CC">
              <w:rPr>
                <w:rFonts w:ascii="Times New Roman" w:eastAsia="Arial" w:hAnsi="Times New Roman" w:cs="Times New Roman"/>
                <w:color w:val="000000"/>
                <w:highlight w:val="white"/>
                <w:lang w:val="id-ID"/>
              </w:rPr>
              <w:t xml:space="preserve">pembelian </w:t>
            </w:r>
            <w:r w:rsidRPr="002D32CC">
              <w:rPr>
                <w:rFonts w:ascii="Times New Roman" w:eastAsia="Arial" w:hAnsi="Times New Roman" w:cs="Times New Roman"/>
                <w:highlight w:val="white"/>
                <w:lang w:val="id-ID"/>
              </w:rPr>
              <w:t xml:space="preserve">152.150 </w:t>
            </w:r>
            <w:r w:rsidRPr="002D32CC">
              <w:rPr>
                <w:rFonts w:ascii="Times New Roman" w:eastAsia="Arial" w:hAnsi="Times New Roman" w:cs="Times New Roman"/>
                <w:color w:val="000000"/>
                <w:highlight w:val="white"/>
                <w:lang w:val="id-ID"/>
              </w:rPr>
              <w:t xml:space="preserve">(seratus lima puluh dua ribu seratus lima puluh) saham preferen seri B dari salah satu pemegang saham Regene, yang kemudian akan dikonversi menjadi </w:t>
            </w:r>
            <w:r w:rsidRPr="002D32CC">
              <w:rPr>
                <w:rFonts w:ascii="Times New Roman" w:eastAsia="Arial" w:hAnsi="Times New Roman" w:cs="Times New Roman"/>
                <w:highlight w:val="white"/>
                <w:lang w:val="id-ID"/>
              </w:rPr>
              <w:t xml:space="preserve">152.150 </w:t>
            </w:r>
            <w:r w:rsidRPr="002D32CC">
              <w:rPr>
                <w:rFonts w:ascii="Times New Roman" w:eastAsia="Arial" w:hAnsi="Times New Roman" w:cs="Times New Roman"/>
                <w:color w:val="000000"/>
                <w:highlight w:val="white"/>
                <w:lang w:val="id-ID"/>
              </w:rPr>
              <w:t xml:space="preserve">(seratus lima puluh dua ribu seratus lima puluh) saham preferen baru </w:t>
            </w:r>
            <w:r w:rsidRPr="002D32CC">
              <w:rPr>
                <w:rFonts w:ascii="Times New Roman" w:eastAsia="Arial" w:hAnsi="Times New Roman" w:cs="Times New Roman"/>
                <w:highlight w:val="white"/>
                <w:lang w:val="id-ID"/>
              </w:rPr>
              <w:t>Regene</w:t>
            </w:r>
            <w:r>
              <w:rPr>
                <w:rFonts w:ascii="Times New Roman" w:eastAsia="Arial" w:hAnsi="Times New Roman" w:cs="Times New Roman"/>
                <w:highlight w:val="white"/>
                <w:lang w:val="id-ID"/>
              </w:rPr>
              <w:t>,</w:t>
            </w:r>
          </w:p>
          <w:p w14:paraId="6BD9288A" w14:textId="77777777" w:rsidR="004315F2" w:rsidRPr="00AA2307" w:rsidRDefault="004612B3" w:rsidP="004873FA">
            <w:pPr>
              <w:pBdr>
                <w:top w:val="nil"/>
                <w:left w:val="nil"/>
                <w:bottom w:val="nil"/>
                <w:right w:val="nil"/>
                <w:between w:val="nil"/>
              </w:pBdr>
              <w:ind w:left="720"/>
              <w:jc w:val="both"/>
              <w:rPr>
                <w:rFonts w:ascii="Times New Roman" w:eastAsia="Arial" w:hAnsi="Times New Roman" w:cs="Times New Roman"/>
                <w:highlight w:val="white"/>
                <w:lang w:val="id-ID"/>
              </w:rPr>
            </w:pPr>
            <w:r w:rsidRPr="00AA2307">
              <w:rPr>
                <w:rFonts w:ascii="Times New Roman" w:eastAsia="Arial" w:hAnsi="Times New Roman" w:cs="Times New Roman"/>
                <w:highlight w:val="white"/>
                <w:lang w:val="id-ID"/>
              </w:rPr>
              <w:t>(</w:t>
            </w:r>
            <w:r w:rsidR="00AC47E2" w:rsidRPr="00AA2307">
              <w:rPr>
                <w:rFonts w:ascii="Times New Roman" w:eastAsia="Arial" w:hAnsi="Times New Roman" w:cs="Times New Roman"/>
                <w:highlight w:val="white"/>
                <w:lang w:val="id-ID"/>
              </w:rPr>
              <w:t xml:space="preserve">selanjutnya disebut sebagai </w:t>
            </w:r>
            <w:r w:rsidRPr="00AA2307">
              <w:rPr>
                <w:rFonts w:ascii="Times New Roman" w:eastAsia="Arial" w:hAnsi="Times New Roman" w:cs="Times New Roman"/>
                <w:highlight w:val="white"/>
                <w:lang w:val="id-ID"/>
              </w:rPr>
              <w:t>“</w:t>
            </w:r>
            <w:r w:rsidRPr="00AA2307">
              <w:rPr>
                <w:rFonts w:ascii="Times New Roman" w:eastAsia="Arial" w:hAnsi="Times New Roman" w:cs="Times New Roman"/>
                <w:b/>
                <w:bCs/>
                <w:highlight w:val="white"/>
                <w:lang w:val="id-ID"/>
              </w:rPr>
              <w:t>Rencana</w:t>
            </w:r>
            <w:r w:rsidRPr="00AA2307">
              <w:rPr>
                <w:rFonts w:ascii="Times New Roman" w:eastAsia="Arial" w:hAnsi="Times New Roman" w:cs="Times New Roman"/>
                <w:highlight w:val="white"/>
                <w:lang w:val="id-ID"/>
              </w:rPr>
              <w:t>”).</w:t>
            </w:r>
          </w:p>
          <w:p w14:paraId="58535F55" w14:textId="22E4BE4D" w:rsidR="004873FA" w:rsidRPr="00AA2307" w:rsidRDefault="004873FA" w:rsidP="004873FA">
            <w:pPr>
              <w:pBdr>
                <w:top w:val="nil"/>
                <w:left w:val="nil"/>
                <w:bottom w:val="nil"/>
                <w:right w:val="nil"/>
                <w:between w:val="nil"/>
              </w:pBdr>
              <w:ind w:left="720"/>
              <w:jc w:val="both"/>
              <w:rPr>
                <w:rFonts w:ascii="Times New Roman" w:eastAsia="Arial" w:hAnsi="Times New Roman" w:cs="Times New Roman"/>
                <w:highlight w:val="white"/>
                <w:lang w:val="id-ID"/>
              </w:rPr>
            </w:pPr>
          </w:p>
        </w:tc>
      </w:tr>
      <w:tr w:rsidR="004315F2" w:rsidRPr="00AA2307" w14:paraId="5050668F" w14:textId="77777777">
        <w:tc>
          <w:tcPr>
            <w:tcW w:w="9435" w:type="dxa"/>
            <w:shd w:val="clear" w:color="auto" w:fill="FFFFFF"/>
          </w:tcPr>
          <w:p w14:paraId="0AC8B18F" w14:textId="1034536C" w:rsidR="004315F2" w:rsidRPr="00AA2307" w:rsidRDefault="00000000">
            <w:pPr>
              <w:jc w:val="both"/>
              <w:rPr>
                <w:rFonts w:ascii="Times New Roman" w:eastAsia="Arial" w:hAnsi="Times New Roman" w:cs="Times New Roman"/>
                <w:highlight w:val="white"/>
                <w:lang w:val="id-ID"/>
              </w:rPr>
            </w:pPr>
            <w:r w:rsidRPr="00AA2307">
              <w:rPr>
                <w:rFonts w:ascii="Times New Roman" w:eastAsia="Arial" w:hAnsi="Times New Roman" w:cs="Times New Roman"/>
                <w:b/>
                <w:color w:val="000000"/>
                <w:highlight w:val="white"/>
                <w:lang w:val="id-ID"/>
              </w:rPr>
              <w:t>OLEH KARENA ITU</w:t>
            </w:r>
            <w:r w:rsidRPr="00AA2307">
              <w:rPr>
                <w:rFonts w:ascii="Times New Roman" w:eastAsia="Arial" w:hAnsi="Times New Roman" w:cs="Times New Roman"/>
                <w:color w:val="000000"/>
                <w:highlight w:val="white"/>
                <w:lang w:val="id-ID"/>
              </w:rPr>
              <w:t xml:space="preserve">, </w:t>
            </w:r>
            <w:r w:rsidRPr="00AA2307">
              <w:rPr>
                <w:rFonts w:ascii="Times New Roman" w:eastAsia="Arial" w:hAnsi="Times New Roman" w:cs="Times New Roman"/>
                <w:highlight w:val="white"/>
                <w:lang w:val="id-ID"/>
              </w:rPr>
              <w:t>Dewan Komisaris</w:t>
            </w:r>
            <w:r w:rsidRPr="00AA2307">
              <w:rPr>
                <w:rFonts w:ascii="Times New Roman" w:eastAsia="Arial" w:hAnsi="Times New Roman" w:cs="Times New Roman"/>
                <w:color w:val="000000"/>
                <w:highlight w:val="white"/>
                <w:lang w:val="id-ID"/>
              </w:rPr>
              <w:t xml:space="preserve"> sepenuhnya mengerti dan mengetahui mengenai </w:t>
            </w:r>
            <w:r w:rsidR="004612B3" w:rsidRPr="00AA2307">
              <w:rPr>
                <w:rFonts w:ascii="Times New Roman" w:eastAsia="Arial" w:hAnsi="Times New Roman" w:cs="Times New Roman"/>
                <w:color w:val="000000"/>
                <w:highlight w:val="white"/>
                <w:lang w:val="id-ID"/>
              </w:rPr>
              <w:t>Rencana</w:t>
            </w:r>
            <w:r w:rsidRPr="00AA2307">
              <w:rPr>
                <w:rFonts w:ascii="Times New Roman" w:eastAsia="Arial" w:hAnsi="Times New Roman" w:cs="Times New Roman"/>
                <w:color w:val="000000"/>
                <w:highlight w:val="white"/>
                <w:lang w:val="id-ID"/>
              </w:rPr>
              <w:t xml:space="preserve"> yang disebutkan di atas</w:t>
            </w:r>
            <w:r w:rsidR="004612B3" w:rsidRPr="00AA2307">
              <w:rPr>
                <w:rFonts w:ascii="Times New Roman" w:eastAsia="Arial" w:hAnsi="Times New Roman" w:cs="Times New Roman"/>
                <w:color w:val="000000"/>
                <w:highlight w:val="white"/>
                <w:lang w:val="id-ID"/>
              </w:rPr>
              <w:t>,</w:t>
            </w:r>
            <w:r w:rsidRPr="00AA2307">
              <w:rPr>
                <w:rFonts w:ascii="Times New Roman" w:eastAsia="Arial" w:hAnsi="Times New Roman" w:cs="Times New Roman"/>
                <w:color w:val="000000"/>
                <w:highlight w:val="white"/>
                <w:lang w:val="id-ID"/>
              </w:rPr>
              <w:t xml:space="preserve"> </w:t>
            </w:r>
            <w:r w:rsidR="004612B3" w:rsidRPr="00AA2307">
              <w:rPr>
                <w:rFonts w:ascii="Times New Roman" w:eastAsia="Arial" w:hAnsi="Times New Roman" w:cs="Times New Roman"/>
                <w:color w:val="000000"/>
                <w:highlight w:val="white"/>
                <w:lang w:val="id-ID"/>
              </w:rPr>
              <w:t>serta telah berdiskusi terkait Rencana dengan Direksi Perseroan, sehingga</w:t>
            </w:r>
            <w:r w:rsidRPr="00AA2307">
              <w:rPr>
                <w:rFonts w:ascii="Times New Roman" w:eastAsia="Arial" w:hAnsi="Times New Roman" w:cs="Times New Roman"/>
                <w:color w:val="000000"/>
                <w:highlight w:val="white"/>
                <w:lang w:val="id-ID"/>
              </w:rPr>
              <w:t xml:space="preserve"> dengan ini memberikan </w:t>
            </w:r>
            <w:r w:rsidR="00593BFC" w:rsidRPr="00AA2307">
              <w:rPr>
                <w:rFonts w:ascii="Times New Roman" w:eastAsia="Arial" w:hAnsi="Times New Roman" w:cs="Times New Roman"/>
                <w:color w:val="000000"/>
                <w:highlight w:val="white"/>
                <w:lang w:val="id-ID"/>
              </w:rPr>
              <w:t>k</w:t>
            </w:r>
            <w:r w:rsidRPr="00AA2307">
              <w:rPr>
                <w:rFonts w:ascii="Times New Roman" w:eastAsia="Arial" w:hAnsi="Times New Roman" w:cs="Times New Roman"/>
                <w:color w:val="000000"/>
                <w:highlight w:val="white"/>
                <w:lang w:val="id-ID"/>
              </w:rPr>
              <w:t>eputusan</w:t>
            </w:r>
            <w:r w:rsidRPr="00AA2307">
              <w:rPr>
                <w:rFonts w:ascii="Times New Roman" w:eastAsia="Arial" w:hAnsi="Times New Roman" w:cs="Times New Roman"/>
                <w:highlight w:val="white"/>
                <w:lang w:val="id-ID"/>
              </w:rPr>
              <w:t xml:space="preserve"> Dewan Komisaris</w:t>
            </w:r>
            <w:r w:rsidR="008330CF" w:rsidRPr="00AA2307">
              <w:rPr>
                <w:rFonts w:ascii="Times New Roman" w:eastAsia="Arial" w:hAnsi="Times New Roman" w:cs="Times New Roman"/>
                <w:highlight w:val="white"/>
                <w:lang w:val="id-ID"/>
              </w:rPr>
              <w:t xml:space="preserve"> sebagai</w:t>
            </w:r>
            <w:r w:rsidRPr="00AA2307">
              <w:rPr>
                <w:rFonts w:ascii="Times New Roman" w:eastAsia="Arial" w:hAnsi="Times New Roman" w:cs="Times New Roman"/>
                <w:color w:val="000000"/>
                <w:highlight w:val="white"/>
                <w:lang w:val="id-ID"/>
              </w:rPr>
              <w:t xml:space="preserve"> berikut (untuk selanjutnya disebut sebagai “</w:t>
            </w:r>
            <w:r w:rsidRPr="00AA2307">
              <w:rPr>
                <w:rFonts w:ascii="Times New Roman" w:eastAsia="Arial" w:hAnsi="Times New Roman" w:cs="Times New Roman"/>
                <w:b/>
                <w:color w:val="000000"/>
                <w:highlight w:val="white"/>
                <w:lang w:val="id-ID"/>
              </w:rPr>
              <w:t xml:space="preserve">Keputusan </w:t>
            </w:r>
            <w:r w:rsidRPr="00AA2307">
              <w:rPr>
                <w:rFonts w:ascii="Times New Roman" w:eastAsia="Arial" w:hAnsi="Times New Roman" w:cs="Times New Roman"/>
                <w:b/>
                <w:highlight w:val="white"/>
                <w:lang w:val="id-ID"/>
              </w:rPr>
              <w:t>Dewan Komisaris</w:t>
            </w:r>
            <w:r w:rsidRPr="00AA2307">
              <w:rPr>
                <w:rFonts w:ascii="Times New Roman" w:eastAsia="Arial" w:hAnsi="Times New Roman" w:cs="Times New Roman"/>
                <w:color w:val="000000"/>
                <w:highlight w:val="white"/>
                <w:lang w:val="id-ID"/>
              </w:rPr>
              <w:t>”)</w:t>
            </w:r>
            <w:r w:rsidR="008330CF" w:rsidRPr="00AA2307">
              <w:rPr>
                <w:rFonts w:ascii="Times New Roman" w:eastAsia="Arial" w:hAnsi="Times New Roman" w:cs="Times New Roman"/>
                <w:color w:val="000000"/>
                <w:highlight w:val="white"/>
                <w:lang w:val="id-ID"/>
              </w:rPr>
              <w:t>:</w:t>
            </w:r>
          </w:p>
        </w:tc>
      </w:tr>
      <w:tr w:rsidR="00D1039C" w:rsidRPr="00AA2307" w14:paraId="1E8C7C01" w14:textId="77777777">
        <w:tc>
          <w:tcPr>
            <w:tcW w:w="9435" w:type="dxa"/>
            <w:shd w:val="clear" w:color="auto" w:fill="FFFFFF"/>
          </w:tcPr>
          <w:p w14:paraId="59153B30" w14:textId="074C3B01" w:rsidR="006C75CD" w:rsidRPr="00AA2307" w:rsidRDefault="006C75CD" w:rsidP="00F60357">
            <w:pPr>
              <w:jc w:val="both"/>
              <w:rPr>
                <w:rFonts w:ascii="Times New Roman" w:eastAsia="Arial" w:hAnsi="Times New Roman" w:cs="Times New Roman"/>
                <w:b/>
                <w:color w:val="000000"/>
                <w:highlight w:val="white"/>
                <w:lang w:val="id-ID"/>
              </w:rPr>
            </w:pPr>
          </w:p>
        </w:tc>
      </w:tr>
      <w:tr w:rsidR="00F60357" w:rsidRPr="00AA2307" w14:paraId="0C456ED4" w14:textId="77777777">
        <w:tc>
          <w:tcPr>
            <w:tcW w:w="9435" w:type="dxa"/>
            <w:shd w:val="clear" w:color="auto" w:fill="FFFFFF"/>
          </w:tcPr>
          <w:p w14:paraId="08325F74" w14:textId="06341E8E" w:rsidR="00024FD5" w:rsidRPr="00AA2307" w:rsidRDefault="00F60357" w:rsidP="00024FD5">
            <w:pPr>
              <w:pStyle w:val="NormalWeb"/>
              <w:numPr>
                <w:ilvl w:val="0"/>
                <w:numId w:val="13"/>
              </w:numPr>
              <w:pBdr>
                <w:top w:val="nil"/>
                <w:left w:val="nil"/>
                <w:bottom w:val="nil"/>
                <w:right w:val="nil"/>
                <w:between w:val="nil"/>
              </w:pBdr>
              <w:spacing w:before="0" w:beforeAutospacing="0" w:after="0" w:afterAutospacing="0"/>
              <w:jc w:val="both"/>
              <w:rPr>
                <w:rFonts w:eastAsia="Arial"/>
                <w:sz w:val="22"/>
                <w:szCs w:val="22"/>
                <w:highlight w:val="white"/>
                <w:lang w:val="id-ID"/>
              </w:rPr>
            </w:pPr>
            <w:r w:rsidRPr="00AA2307">
              <w:rPr>
                <w:rFonts w:eastAsia="Arial"/>
                <w:b/>
                <w:color w:val="000000"/>
                <w:sz w:val="22"/>
                <w:szCs w:val="22"/>
                <w:highlight w:val="white"/>
                <w:lang w:val="id-ID"/>
              </w:rPr>
              <w:t>MEMUTUSKAN</w:t>
            </w:r>
            <w:r w:rsidRPr="00AA2307">
              <w:rPr>
                <w:rFonts w:eastAsia="Arial"/>
                <w:color w:val="000000"/>
                <w:sz w:val="22"/>
                <w:szCs w:val="22"/>
                <w:highlight w:val="white"/>
                <w:lang w:val="id-ID"/>
              </w:rPr>
              <w:t xml:space="preserve">, </w:t>
            </w:r>
            <w:r w:rsidR="00024FD5" w:rsidRPr="00AA2307">
              <w:rPr>
                <w:rFonts w:eastAsia="Arial"/>
                <w:sz w:val="22"/>
                <w:szCs w:val="22"/>
                <w:highlight w:val="white"/>
                <w:lang w:val="id-ID"/>
              </w:rPr>
              <w:t>untuk menyetujui penyertaan pada Regene hingga sebesar 20% dari total saham Regene, yang dilakukan melalui:</w:t>
            </w:r>
          </w:p>
          <w:p w14:paraId="0F84AD13" w14:textId="77777777" w:rsidR="00024FD5" w:rsidRPr="00AA2307" w:rsidRDefault="00024FD5" w:rsidP="00024FD5">
            <w:pPr>
              <w:pStyle w:val="NormalWeb"/>
              <w:pBdr>
                <w:top w:val="nil"/>
                <w:left w:val="nil"/>
                <w:bottom w:val="nil"/>
                <w:right w:val="nil"/>
                <w:between w:val="nil"/>
              </w:pBdr>
              <w:spacing w:before="0" w:beforeAutospacing="0" w:after="0" w:afterAutospacing="0"/>
              <w:ind w:left="720"/>
              <w:jc w:val="both"/>
              <w:rPr>
                <w:rFonts w:eastAsia="Arial"/>
                <w:sz w:val="22"/>
                <w:szCs w:val="22"/>
                <w:highlight w:val="white"/>
                <w:lang w:val="id-ID"/>
              </w:rPr>
            </w:pPr>
          </w:p>
          <w:p w14:paraId="6FF073C3" w14:textId="77777777" w:rsidR="00024FD5" w:rsidRPr="00AA2307" w:rsidRDefault="00024FD5" w:rsidP="00024FD5">
            <w:pPr>
              <w:pStyle w:val="ListParagraph"/>
              <w:numPr>
                <w:ilvl w:val="0"/>
                <w:numId w:val="14"/>
              </w:numPr>
              <w:pBdr>
                <w:top w:val="nil"/>
                <w:left w:val="nil"/>
                <w:bottom w:val="nil"/>
                <w:right w:val="nil"/>
                <w:between w:val="nil"/>
              </w:pBdr>
              <w:ind w:left="1165" w:hanging="425"/>
              <w:jc w:val="both"/>
              <w:rPr>
                <w:rFonts w:ascii="Times New Roman" w:eastAsia="Arial" w:hAnsi="Times New Roman" w:cs="Times New Roman"/>
                <w:highlight w:val="white"/>
                <w:lang w:val="id-ID"/>
              </w:rPr>
            </w:pPr>
            <w:r w:rsidRPr="00AA2307">
              <w:rPr>
                <w:rFonts w:ascii="Times New Roman" w:eastAsia="Arial" w:hAnsi="Times New Roman" w:cs="Times New Roman"/>
                <w:highlight w:val="white"/>
                <w:lang w:val="id-ID"/>
              </w:rPr>
              <w:t xml:space="preserve">penyertaan modal ditempatkan dan modal disetor sebesar </w:t>
            </w:r>
            <w:r w:rsidRPr="00AA2307">
              <w:rPr>
                <w:rFonts w:ascii="Times New Roman" w:eastAsia="Arial" w:hAnsi="Times New Roman" w:cs="Times New Roman"/>
                <w:color w:val="000000"/>
                <w:lang w:val="id-ID"/>
              </w:rPr>
              <w:t xml:space="preserve">Rp 12.506.730.000 (dua </w:t>
            </w:r>
            <w:r w:rsidRPr="00AA2307">
              <w:rPr>
                <w:rFonts w:ascii="Times New Roman" w:eastAsia="Arial" w:hAnsi="Times New Roman" w:cs="Times New Roman"/>
                <w:bCs/>
                <w:color w:val="000000"/>
                <w:highlight w:val="white"/>
                <w:lang w:val="id-ID"/>
              </w:rPr>
              <w:t>belas</w:t>
            </w:r>
            <w:r w:rsidRPr="00AA2307">
              <w:rPr>
                <w:rFonts w:ascii="Times New Roman" w:eastAsia="Arial" w:hAnsi="Times New Roman" w:cs="Times New Roman"/>
                <w:color w:val="000000"/>
                <w:lang w:val="id-ID"/>
              </w:rPr>
              <w:t xml:space="preserve"> miliar lima ratus enam juta tujuh ratus tiga puluh ribu Rupiah) untuk memperoleh </w:t>
            </w:r>
            <w:r w:rsidRPr="00AA2307">
              <w:rPr>
                <w:rFonts w:ascii="Times New Roman" w:eastAsia="Arial" w:hAnsi="Times New Roman" w:cs="Times New Roman"/>
                <w:highlight w:val="white"/>
                <w:lang w:val="id-ID"/>
              </w:rPr>
              <w:t xml:space="preserve">152.150 </w:t>
            </w:r>
            <w:r w:rsidRPr="00AA2307">
              <w:rPr>
                <w:rFonts w:ascii="Times New Roman" w:eastAsia="Arial" w:hAnsi="Times New Roman" w:cs="Times New Roman"/>
                <w:color w:val="000000"/>
                <w:highlight w:val="white"/>
                <w:lang w:val="id-ID"/>
              </w:rPr>
              <w:t xml:space="preserve">(seratus lima puluh dua ribu seratus lima puluh) saham preferen seri C </w:t>
            </w:r>
            <w:r w:rsidRPr="00AA2307">
              <w:rPr>
                <w:rFonts w:ascii="Times New Roman" w:eastAsia="Arial" w:hAnsi="Times New Roman" w:cs="Times New Roman"/>
                <w:color w:val="000000"/>
                <w:lang w:val="id-ID"/>
              </w:rPr>
              <w:t xml:space="preserve">berdasarkan syarat dan ketentuan Perjanjian Penyertaan Saham (sebagaimana </w:t>
            </w:r>
            <w:r w:rsidRPr="00AA2307">
              <w:rPr>
                <w:rFonts w:ascii="Times New Roman" w:hAnsi="Times New Roman" w:cs="Times New Roman"/>
                <w:lang w:val="id-ID"/>
              </w:rPr>
              <w:t xml:space="preserve">didefinisikan </w:t>
            </w:r>
            <w:r w:rsidRPr="00AA2307">
              <w:rPr>
                <w:rFonts w:ascii="Times New Roman" w:eastAsia="Arial" w:hAnsi="Times New Roman" w:cs="Times New Roman"/>
                <w:color w:val="000000"/>
                <w:lang w:val="id-ID"/>
              </w:rPr>
              <w:t>di bawah ini)</w:t>
            </w:r>
            <w:r w:rsidRPr="00AA2307">
              <w:rPr>
                <w:rFonts w:ascii="Times New Roman" w:eastAsia="Arial" w:hAnsi="Times New Roman" w:cs="Times New Roman"/>
                <w:color w:val="000000"/>
                <w:highlight w:val="white"/>
                <w:lang w:val="id-ID"/>
              </w:rPr>
              <w:t>; dan</w:t>
            </w:r>
          </w:p>
          <w:p w14:paraId="7695F314" w14:textId="77777777" w:rsidR="00024FD5" w:rsidRPr="00AA2307" w:rsidRDefault="00024FD5" w:rsidP="00024FD5">
            <w:pPr>
              <w:pStyle w:val="ListParagraph"/>
              <w:pBdr>
                <w:top w:val="nil"/>
                <w:left w:val="nil"/>
                <w:bottom w:val="nil"/>
                <w:right w:val="nil"/>
                <w:between w:val="nil"/>
              </w:pBdr>
              <w:ind w:left="1165" w:hanging="425"/>
              <w:jc w:val="both"/>
              <w:rPr>
                <w:rFonts w:ascii="Times New Roman" w:eastAsia="Arial" w:hAnsi="Times New Roman" w:cs="Times New Roman"/>
                <w:highlight w:val="white"/>
                <w:lang w:val="id-ID"/>
              </w:rPr>
            </w:pPr>
          </w:p>
          <w:p w14:paraId="01BEB57F" w14:textId="719B2E0A" w:rsidR="00F60357" w:rsidRPr="00AA2307" w:rsidRDefault="00024FD5" w:rsidP="00024FD5">
            <w:pPr>
              <w:pStyle w:val="ListParagraph"/>
              <w:numPr>
                <w:ilvl w:val="0"/>
                <w:numId w:val="14"/>
              </w:numPr>
              <w:pBdr>
                <w:top w:val="nil"/>
                <w:left w:val="nil"/>
                <w:bottom w:val="nil"/>
                <w:right w:val="nil"/>
                <w:between w:val="nil"/>
              </w:pBdr>
              <w:ind w:left="1165" w:hanging="425"/>
              <w:jc w:val="both"/>
              <w:rPr>
                <w:rFonts w:ascii="Times New Roman" w:eastAsia="Arial" w:hAnsi="Times New Roman" w:cs="Times New Roman"/>
                <w:b/>
                <w:color w:val="000000"/>
                <w:highlight w:val="white"/>
                <w:lang w:val="id-ID"/>
              </w:rPr>
            </w:pPr>
            <w:r w:rsidRPr="00AA2307">
              <w:rPr>
                <w:rFonts w:ascii="Times New Roman" w:eastAsia="Arial" w:hAnsi="Times New Roman" w:cs="Times New Roman"/>
                <w:highlight w:val="white"/>
                <w:lang w:val="id-ID"/>
              </w:rPr>
              <w:t>pembelian</w:t>
            </w:r>
            <w:r w:rsidRPr="00AA2307">
              <w:rPr>
                <w:rFonts w:ascii="Times New Roman" w:eastAsia="Arial" w:hAnsi="Times New Roman" w:cs="Times New Roman"/>
                <w:color w:val="000000"/>
                <w:highlight w:val="white"/>
                <w:lang w:val="id-ID"/>
              </w:rPr>
              <w:t xml:space="preserve"> </w:t>
            </w:r>
            <w:r w:rsidRPr="00AA2307">
              <w:rPr>
                <w:rFonts w:ascii="Times New Roman" w:eastAsia="Arial" w:hAnsi="Times New Roman" w:cs="Times New Roman"/>
                <w:highlight w:val="white"/>
                <w:lang w:val="id-ID"/>
              </w:rPr>
              <w:t xml:space="preserve">152.150 </w:t>
            </w:r>
            <w:r w:rsidRPr="00AA2307">
              <w:rPr>
                <w:rFonts w:ascii="Times New Roman" w:eastAsia="Arial" w:hAnsi="Times New Roman" w:cs="Times New Roman"/>
                <w:color w:val="000000"/>
                <w:highlight w:val="white"/>
                <w:lang w:val="id-ID"/>
              </w:rPr>
              <w:t xml:space="preserve">(seratus lima puluh dua ribu seratus lima puluh) saham preferen seri B dari salah satu pemegang saham Regene, yang kemudian akan dikonversi menjadi </w:t>
            </w:r>
            <w:r w:rsidRPr="00AA2307">
              <w:rPr>
                <w:rFonts w:ascii="Times New Roman" w:eastAsia="Arial" w:hAnsi="Times New Roman" w:cs="Times New Roman"/>
                <w:highlight w:val="white"/>
                <w:lang w:val="id-ID"/>
              </w:rPr>
              <w:t xml:space="preserve">152.150 </w:t>
            </w:r>
            <w:r w:rsidRPr="00AA2307">
              <w:rPr>
                <w:rFonts w:ascii="Times New Roman" w:eastAsia="Arial" w:hAnsi="Times New Roman" w:cs="Times New Roman"/>
                <w:color w:val="000000"/>
                <w:highlight w:val="white"/>
                <w:lang w:val="id-ID"/>
              </w:rPr>
              <w:t xml:space="preserve">(seratus lima puluh dua ribu seratus lima puluh) saham preferen baru </w:t>
            </w:r>
            <w:r w:rsidRPr="00AA2307">
              <w:rPr>
                <w:rFonts w:ascii="Times New Roman" w:eastAsia="Arial" w:hAnsi="Times New Roman" w:cs="Times New Roman"/>
                <w:highlight w:val="white"/>
                <w:lang w:val="id-ID"/>
              </w:rPr>
              <w:t xml:space="preserve">Regene </w:t>
            </w:r>
            <w:r w:rsidRPr="00AA2307">
              <w:rPr>
                <w:rFonts w:ascii="Times New Roman" w:eastAsia="Arial" w:hAnsi="Times New Roman" w:cs="Times New Roman"/>
                <w:color w:val="000000"/>
                <w:highlight w:val="white"/>
                <w:lang w:val="id-ID"/>
              </w:rPr>
              <w:t xml:space="preserve">berdasarkan syarat dan ketentuan </w:t>
            </w:r>
            <w:r w:rsidRPr="00AA2307">
              <w:rPr>
                <w:rFonts w:ascii="Times New Roman" w:hAnsi="Times New Roman" w:cs="Times New Roman"/>
                <w:i/>
                <w:iCs/>
                <w:lang w:val="id-ID"/>
              </w:rPr>
              <w:t xml:space="preserve">Perjanjian Pengikatan Jual Beli Saham </w:t>
            </w:r>
            <w:r w:rsidRPr="00AA2307">
              <w:rPr>
                <w:rFonts w:ascii="Times New Roman" w:hAnsi="Times New Roman" w:cs="Times New Roman"/>
                <w:lang w:val="id-ID"/>
              </w:rPr>
              <w:t>(sebagaimana didefinisikan di bawah ini)</w:t>
            </w:r>
            <w:r w:rsidRPr="00AA2307">
              <w:rPr>
                <w:rFonts w:ascii="Times New Roman" w:eastAsia="Arial" w:hAnsi="Times New Roman" w:cs="Times New Roman"/>
                <w:highlight w:val="white"/>
                <w:lang w:val="id-ID"/>
              </w:rPr>
              <w:t>.</w:t>
            </w:r>
          </w:p>
        </w:tc>
      </w:tr>
      <w:tr w:rsidR="00AF0A5C" w:rsidRPr="00AA2307" w14:paraId="7F4AEA65" w14:textId="77777777">
        <w:tc>
          <w:tcPr>
            <w:tcW w:w="9435" w:type="dxa"/>
            <w:shd w:val="clear" w:color="auto" w:fill="FFFFFF"/>
          </w:tcPr>
          <w:p w14:paraId="50A2595B" w14:textId="77777777" w:rsidR="00AF0A5C" w:rsidRPr="00AA2307" w:rsidRDefault="00AF0A5C" w:rsidP="00AF0A5C">
            <w:pPr>
              <w:pBdr>
                <w:top w:val="nil"/>
                <w:left w:val="nil"/>
                <w:bottom w:val="nil"/>
                <w:right w:val="nil"/>
                <w:between w:val="nil"/>
              </w:pBdr>
              <w:jc w:val="both"/>
              <w:rPr>
                <w:rFonts w:ascii="Times New Roman" w:eastAsia="Arial" w:hAnsi="Times New Roman" w:cs="Times New Roman"/>
                <w:b/>
                <w:color w:val="000000"/>
                <w:highlight w:val="white"/>
                <w:lang w:val="id-ID"/>
              </w:rPr>
            </w:pPr>
          </w:p>
        </w:tc>
      </w:tr>
      <w:tr w:rsidR="004315F2" w:rsidRPr="00AA2307" w14:paraId="520ECABD" w14:textId="77777777">
        <w:tc>
          <w:tcPr>
            <w:tcW w:w="9435" w:type="dxa"/>
            <w:shd w:val="clear" w:color="auto" w:fill="FFFFFF"/>
          </w:tcPr>
          <w:p w14:paraId="039A35EF" w14:textId="3ADA70B3" w:rsidR="00593BFC" w:rsidRPr="00AA2307" w:rsidRDefault="00000000" w:rsidP="00024FD5">
            <w:pPr>
              <w:pStyle w:val="NormalWeb"/>
              <w:numPr>
                <w:ilvl w:val="0"/>
                <w:numId w:val="13"/>
              </w:numPr>
              <w:pBdr>
                <w:top w:val="nil"/>
                <w:left w:val="nil"/>
                <w:bottom w:val="nil"/>
                <w:right w:val="nil"/>
                <w:between w:val="nil"/>
              </w:pBdr>
              <w:spacing w:before="0" w:beforeAutospacing="0" w:after="0" w:afterAutospacing="0"/>
              <w:jc w:val="both"/>
              <w:rPr>
                <w:rFonts w:eastAsia="Arial"/>
                <w:color w:val="000000"/>
                <w:sz w:val="22"/>
                <w:szCs w:val="22"/>
                <w:highlight w:val="white"/>
                <w:lang w:val="id-ID"/>
              </w:rPr>
            </w:pPr>
            <w:r w:rsidRPr="00AA2307">
              <w:rPr>
                <w:rFonts w:eastAsia="Arial"/>
                <w:b/>
                <w:color w:val="000000"/>
                <w:sz w:val="22"/>
                <w:szCs w:val="22"/>
                <w:highlight w:val="white"/>
                <w:lang w:val="id-ID"/>
              </w:rPr>
              <w:lastRenderedPageBreak/>
              <w:t>MEMUTUSKAN</w:t>
            </w:r>
            <w:r w:rsidRPr="00AA2307">
              <w:rPr>
                <w:rFonts w:eastAsia="Arial"/>
                <w:color w:val="000000"/>
                <w:sz w:val="22"/>
                <w:szCs w:val="22"/>
                <w:highlight w:val="white"/>
                <w:lang w:val="id-ID"/>
              </w:rPr>
              <w:t xml:space="preserve">, </w:t>
            </w:r>
            <w:r w:rsidR="008255E3">
              <w:rPr>
                <w:rFonts w:eastAsia="Arial"/>
                <w:color w:val="000000"/>
                <w:sz w:val="22"/>
                <w:szCs w:val="22"/>
                <w:highlight w:val="white"/>
                <w:lang w:val="en-US"/>
              </w:rPr>
              <w:t xml:space="preserve">untuk </w:t>
            </w:r>
            <w:r w:rsidR="00593BFC" w:rsidRPr="00AA2307">
              <w:rPr>
                <w:rFonts w:eastAsia="Arial"/>
                <w:color w:val="000000"/>
                <w:sz w:val="22"/>
                <w:szCs w:val="22"/>
                <w:highlight w:val="white"/>
                <w:lang w:val="id-ID"/>
              </w:rPr>
              <w:t xml:space="preserve">menyetujui penandatanganan dokumen-dokumen </w:t>
            </w:r>
            <w:r w:rsidR="00F60357" w:rsidRPr="00AA2307">
              <w:rPr>
                <w:rFonts w:eastAsia="Arial"/>
                <w:color w:val="000000"/>
                <w:sz w:val="22"/>
                <w:szCs w:val="22"/>
                <w:highlight w:val="white"/>
                <w:lang w:val="id-ID"/>
              </w:rPr>
              <w:t xml:space="preserve">terkait </w:t>
            </w:r>
            <w:r w:rsidR="00C33828">
              <w:rPr>
                <w:rFonts w:eastAsia="Arial"/>
                <w:color w:val="000000"/>
                <w:sz w:val="22"/>
                <w:szCs w:val="22"/>
                <w:highlight w:val="white"/>
                <w:lang w:val="en-US"/>
              </w:rPr>
              <w:t>Rencana</w:t>
            </w:r>
            <w:r w:rsidR="00F60357" w:rsidRPr="00AA2307">
              <w:rPr>
                <w:rFonts w:eastAsia="Arial"/>
                <w:color w:val="000000"/>
                <w:sz w:val="22"/>
                <w:szCs w:val="22"/>
                <w:highlight w:val="white"/>
                <w:lang w:val="id-ID"/>
              </w:rPr>
              <w:t xml:space="preserve">, </w:t>
            </w:r>
            <w:r w:rsidR="00593BFC" w:rsidRPr="00AA2307">
              <w:rPr>
                <w:rFonts w:eastAsia="Arial"/>
                <w:color w:val="000000"/>
                <w:sz w:val="22"/>
                <w:szCs w:val="22"/>
                <w:highlight w:val="white"/>
                <w:lang w:val="id-ID"/>
              </w:rPr>
              <w:t>yang termasuk namun tidak terbatas pada:</w:t>
            </w:r>
          </w:p>
          <w:p w14:paraId="5DE399F2" w14:textId="77777777" w:rsidR="00E81A36" w:rsidRPr="00AA2307" w:rsidRDefault="00E81A36" w:rsidP="00E81A36">
            <w:pPr>
              <w:pStyle w:val="NormalWeb"/>
              <w:pBdr>
                <w:top w:val="nil"/>
                <w:left w:val="nil"/>
                <w:bottom w:val="nil"/>
                <w:right w:val="nil"/>
                <w:between w:val="nil"/>
              </w:pBdr>
              <w:spacing w:before="0" w:beforeAutospacing="0" w:after="0" w:afterAutospacing="0"/>
              <w:ind w:left="720"/>
              <w:jc w:val="both"/>
              <w:rPr>
                <w:rFonts w:eastAsia="Arial"/>
                <w:color w:val="000000"/>
                <w:sz w:val="22"/>
                <w:szCs w:val="22"/>
                <w:highlight w:val="white"/>
                <w:lang w:val="id-ID"/>
              </w:rPr>
            </w:pPr>
          </w:p>
          <w:p w14:paraId="3B84A315" w14:textId="0E8E5C07" w:rsidR="00F60357" w:rsidRPr="00AA2307" w:rsidRDefault="00F60357" w:rsidP="00024FD5">
            <w:pPr>
              <w:pStyle w:val="ListParagraph"/>
              <w:numPr>
                <w:ilvl w:val="0"/>
                <w:numId w:val="9"/>
              </w:numPr>
              <w:ind w:left="1165" w:hanging="425"/>
              <w:jc w:val="both"/>
              <w:rPr>
                <w:rFonts w:ascii="Times New Roman" w:hAnsi="Times New Roman" w:cs="Times New Roman"/>
                <w:lang w:val="id-ID"/>
              </w:rPr>
            </w:pPr>
            <w:r w:rsidRPr="00AA2307">
              <w:rPr>
                <w:rFonts w:ascii="Times New Roman" w:hAnsi="Times New Roman" w:cs="Times New Roman"/>
                <w:lang w:val="id-ID"/>
              </w:rPr>
              <w:t>Perjanjian Penyertaan Saham (</w:t>
            </w:r>
            <w:r w:rsidRPr="00AA2307">
              <w:rPr>
                <w:rFonts w:ascii="Times New Roman" w:hAnsi="Times New Roman" w:cs="Times New Roman"/>
                <w:i/>
                <w:iCs/>
                <w:lang w:val="id-ID"/>
              </w:rPr>
              <w:t>Shares Subscription Agreement</w:t>
            </w:r>
            <w:r w:rsidRPr="00AA2307">
              <w:rPr>
                <w:rFonts w:ascii="Times New Roman" w:hAnsi="Times New Roman" w:cs="Times New Roman"/>
                <w:lang w:val="id-ID"/>
              </w:rPr>
              <w:t xml:space="preserve">) oleh dan di antara </w:t>
            </w:r>
            <w:r w:rsidR="00DE2963" w:rsidRPr="00AA2307">
              <w:rPr>
                <w:rFonts w:ascii="Times New Roman" w:hAnsi="Times New Roman" w:cs="Times New Roman"/>
                <w:lang w:val="id-ID"/>
              </w:rPr>
              <w:t xml:space="preserve">Perseroan </w:t>
            </w:r>
            <w:r w:rsidRPr="00AA2307">
              <w:rPr>
                <w:rFonts w:ascii="Times New Roman" w:hAnsi="Times New Roman" w:cs="Times New Roman"/>
                <w:lang w:val="id-ID"/>
              </w:rPr>
              <w:t xml:space="preserve">dengan </w:t>
            </w:r>
            <w:r w:rsidR="00DE2963" w:rsidRPr="00AA2307">
              <w:rPr>
                <w:rFonts w:ascii="Times New Roman" w:eastAsia="Arial" w:hAnsi="Times New Roman" w:cs="Times New Roman"/>
                <w:highlight w:val="white"/>
                <w:lang w:val="id-ID"/>
              </w:rPr>
              <w:t>Regene</w:t>
            </w:r>
            <w:r w:rsidR="00DE2963" w:rsidRPr="00AA2307">
              <w:rPr>
                <w:rFonts w:ascii="Times New Roman" w:hAnsi="Times New Roman" w:cs="Times New Roman"/>
                <w:lang w:val="id-ID"/>
              </w:rPr>
              <w:t xml:space="preserve"> </w:t>
            </w:r>
            <w:r w:rsidRPr="00AA2307">
              <w:rPr>
                <w:rFonts w:ascii="Times New Roman" w:hAnsi="Times New Roman" w:cs="Times New Roman"/>
                <w:lang w:val="id-ID"/>
              </w:rPr>
              <w:t>(“</w:t>
            </w:r>
            <w:r w:rsidRPr="00AA2307">
              <w:rPr>
                <w:rFonts w:ascii="Times New Roman" w:eastAsia="Arial" w:hAnsi="Times New Roman" w:cs="Times New Roman"/>
                <w:b/>
                <w:bCs/>
                <w:color w:val="000000"/>
                <w:lang w:val="id-ID"/>
              </w:rPr>
              <w:t>Perjanjian Penyertaan Saham</w:t>
            </w:r>
            <w:r w:rsidRPr="00AA2307">
              <w:rPr>
                <w:rFonts w:ascii="Times New Roman" w:eastAsia="Arial" w:hAnsi="Times New Roman" w:cs="Times New Roman"/>
                <w:color w:val="000000"/>
                <w:lang w:val="id-ID"/>
              </w:rPr>
              <w:t>”)</w:t>
            </w:r>
            <w:r w:rsidRPr="00AA2307">
              <w:rPr>
                <w:rFonts w:ascii="Times New Roman" w:hAnsi="Times New Roman" w:cs="Times New Roman"/>
                <w:lang w:val="id-ID"/>
              </w:rPr>
              <w:t>;</w:t>
            </w:r>
          </w:p>
          <w:p w14:paraId="2C6A8E20" w14:textId="77777777" w:rsidR="00E81A36" w:rsidRPr="00AA2307" w:rsidRDefault="00E81A36" w:rsidP="00E81A36">
            <w:pPr>
              <w:pStyle w:val="ListParagraph"/>
              <w:ind w:left="1165"/>
              <w:jc w:val="both"/>
              <w:rPr>
                <w:rFonts w:ascii="Times New Roman" w:hAnsi="Times New Roman" w:cs="Times New Roman"/>
                <w:lang w:val="id-ID"/>
              </w:rPr>
            </w:pPr>
          </w:p>
          <w:p w14:paraId="6A712CBA" w14:textId="0E9E687D" w:rsidR="00F60357" w:rsidRPr="00AA2307" w:rsidRDefault="00F60357" w:rsidP="00024FD5">
            <w:pPr>
              <w:pStyle w:val="ListParagraph"/>
              <w:numPr>
                <w:ilvl w:val="0"/>
                <w:numId w:val="9"/>
              </w:numPr>
              <w:ind w:left="1165" w:hanging="425"/>
              <w:jc w:val="both"/>
              <w:rPr>
                <w:rFonts w:ascii="Times New Roman" w:hAnsi="Times New Roman" w:cs="Times New Roman"/>
                <w:lang w:val="id-ID"/>
              </w:rPr>
            </w:pPr>
            <w:r w:rsidRPr="00AA2307">
              <w:rPr>
                <w:rFonts w:ascii="Times New Roman" w:hAnsi="Times New Roman" w:cs="Times New Roman"/>
                <w:lang w:val="id-ID"/>
              </w:rPr>
              <w:t>Perjanjian Pertanggungan Investor (</w:t>
            </w:r>
            <w:r w:rsidRPr="00AA2307">
              <w:rPr>
                <w:rFonts w:ascii="Times New Roman" w:hAnsi="Times New Roman" w:cs="Times New Roman"/>
                <w:i/>
                <w:iCs/>
                <w:lang w:val="id-ID"/>
              </w:rPr>
              <w:t>Investor Indemnification Agreement</w:t>
            </w:r>
            <w:r w:rsidRPr="00AA2307">
              <w:rPr>
                <w:rFonts w:ascii="Times New Roman" w:hAnsi="Times New Roman" w:cs="Times New Roman"/>
                <w:lang w:val="id-ID"/>
              </w:rPr>
              <w:t xml:space="preserve">) oleh dan di antara </w:t>
            </w:r>
            <w:r w:rsidR="00DE2963" w:rsidRPr="00AA2307">
              <w:rPr>
                <w:rFonts w:ascii="Times New Roman" w:hAnsi="Times New Roman" w:cs="Times New Roman"/>
                <w:lang w:val="id-ID"/>
              </w:rPr>
              <w:t xml:space="preserve">Perseroan </w:t>
            </w:r>
            <w:r w:rsidRPr="00AA2307">
              <w:rPr>
                <w:rFonts w:ascii="Times New Roman" w:hAnsi="Times New Roman" w:cs="Times New Roman"/>
                <w:lang w:val="id-ID"/>
              </w:rPr>
              <w:t xml:space="preserve">dan </w:t>
            </w:r>
            <w:r w:rsidR="00DE2963" w:rsidRPr="00AA2307">
              <w:rPr>
                <w:rFonts w:ascii="Times New Roman" w:eastAsia="Arial" w:hAnsi="Times New Roman" w:cs="Times New Roman"/>
                <w:highlight w:val="white"/>
                <w:lang w:val="id-ID"/>
              </w:rPr>
              <w:t>Regene</w:t>
            </w:r>
            <w:r w:rsidRPr="00AA2307">
              <w:rPr>
                <w:rFonts w:ascii="Times New Roman" w:hAnsi="Times New Roman" w:cs="Times New Roman"/>
                <w:lang w:val="id-ID"/>
              </w:rPr>
              <w:t>;</w:t>
            </w:r>
          </w:p>
          <w:p w14:paraId="073B074F" w14:textId="77777777" w:rsidR="00E81A36" w:rsidRPr="00AA2307" w:rsidRDefault="00E81A36" w:rsidP="00E81A36">
            <w:pPr>
              <w:jc w:val="both"/>
              <w:rPr>
                <w:rFonts w:ascii="Times New Roman" w:hAnsi="Times New Roman" w:cs="Times New Roman"/>
                <w:lang w:val="id-ID"/>
              </w:rPr>
            </w:pPr>
          </w:p>
          <w:p w14:paraId="7AB35101" w14:textId="243AFDF8" w:rsidR="00593BFC" w:rsidRPr="00AA2307" w:rsidRDefault="00F60357" w:rsidP="00024FD5">
            <w:pPr>
              <w:pStyle w:val="ListParagraph"/>
              <w:numPr>
                <w:ilvl w:val="0"/>
                <w:numId w:val="9"/>
              </w:numPr>
              <w:ind w:left="1165" w:hanging="425"/>
              <w:jc w:val="both"/>
              <w:rPr>
                <w:rFonts w:ascii="Times New Roman" w:hAnsi="Times New Roman" w:cs="Times New Roman"/>
                <w:lang w:val="id-ID"/>
              </w:rPr>
            </w:pPr>
            <w:r w:rsidRPr="00AA2307">
              <w:rPr>
                <w:rFonts w:ascii="Times New Roman" w:hAnsi="Times New Roman" w:cs="Times New Roman"/>
                <w:lang w:val="id-ID"/>
              </w:rPr>
              <w:t>Perjanjian Pemegang Saham (</w:t>
            </w:r>
            <w:r w:rsidRPr="00AA2307">
              <w:rPr>
                <w:rFonts w:ascii="Times New Roman" w:hAnsi="Times New Roman" w:cs="Times New Roman"/>
                <w:i/>
                <w:iCs/>
                <w:lang w:val="id-ID"/>
              </w:rPr>
              <w:t>Shareholder Agreement</w:t>
            </w:r>
            <w:r w:rsidRPr="00AA2307">
              <w:rPr>
                <w:rFonts w:ascii="Times New Roman" w:hAnsi="Times New Roman" w:cs="Times New Roman"/>
                <w:lang w:val="id-ID"/>
              </w:rPr>
              <w:t xml:space="preserve">) oleh dan di antara Tiang Vichi Lestari, Desmond Previn, Luna Famiarjo, Dexter Harto, Salim Haykal, Hikmat Hardono, PT Mega Ozora Venture, </w:t>
            </w:r>
            <w:r w:rsidR="00DE2963" w:rsidRPr="00AA2307">
              <w:rPr>
                <w:rFonts w:ascii="Times New Roman" w:eastAsia="Arial" w:hAnsi="Times New Roman" w:cs="Times New Roman"/>
                <w:highlight w:val="white"/>
                <w:lang w:val="id-ID"/>
              </w:rPr>
              <w:t>Regene</w:t>
            </w:r>
            <w:r w:rsidRPr="00AA2307">
              <w:rPr>
                <w:rFonts w:ascii="Times New Roman" w:hAnsi="Times New Roman" w:cs="Times New Roman"/>
                <w:lang w:val="id-ID"/>
              </w:rPr>
              <w:t xml:space="preserve">, dan </w:t>
            </w:r>
            <w:r w:rsidR="00DE2963" w:rsidRPr="00AA2307">
              <w:rPr>
                <w:rFonts w:ascii="Times New Roman" w:hAnsi="Times New Roman" w:cs="Times New Roman"/>
                <w:lang w:val="id-ID"/>
              </w:rPr>
              <w:t>Perseroan</w:t>
            </w:r>
            <w:r w:rsidRPr="00AA2307">
              <w:rPr>
                <w:rFonts w:ascii="Times New Roman" w:hAnsi="Times New Roman" w:cs="Times New Roman"/>
                <w:lang w:val="id-ID"/>
              </w:rPr>
              <w:t xml:space="preserve">; </w:t>
            </w:r>
            <w:r w:rsidR="00593BFC" w:rsidRPr="00AA2307">
              <w:rPr>
                <w:rFonts w:ascii="Times New Roman" w:hAnsi="Times New Roman" w:cs="Times New Roman"/>
                <w:lang w:val="id-ID"/>
              </w:rPr>
              <w:t>dan</w:t>
            </w:r>
          </w:p>
          <w:p w14:paraId="2FC06181" w14:textId="77777777" w:rsidR="00E81A36" w:rsidRPr="00AA2307" w:rsidRDefault="00E81A36" w:rsidP="00E81A36">
            <w:pPr>
              <w:jc w:val="both"/>
              <w:rPr>
                <w:rFonts w:ascii="Times New Roman" w:hAnsi="Times New Roman" w:cs="Times New Roman"/>
                <w:lang w:val="id-ID"/>
              </w:rPr>
            </w:pPr>
          </w:p>
          <w:p w14:paraId="1293FAF2" w14:textId="027F18D1" w:rsidR="004315F2" w:rsidRPr="00AA2307" w:rsidRDefault="00593BFC" w:rsidP="00024FD5">
            <w:pPr>
              <w:pStyle w:val="ListParagraph"/>
              <w:numPr>
                <w:ilvl w:val="0"/>
                <w:numId w:val="9"/>
              </w:numPr>
              <w:ind w:left="1165" w:hanging="425"/>
              <w:jc w:val="both"/>
              <w:rPr>
                <w:rFonts w:ascii="Times New Roman" w:hAnsi="Times New Roman" w:cs="Times New Roman"/>
                <w:lang w:val="id-ID"/>
              </w:rPr>
            </w:pPr>
            <w:r w:rsidRPr="00AA2307">
              <w:rPr>
                <w:rFonts w:ascii="Times New Roman" w:hAnsi="Times New Roman" w:cs="Times New Roman"/>
                <w:lang w:val="id-ID"/>
              </w:rPr>
              <w:t>Perjanjian Pengikatan Jual Beli Saham (</w:t>
            </w:r>
            <w:r w:rsidRPr="00AA2307">
              <w:rPr>
                <w:rFonts w:ascii="Times New Roman" w:hAnsi="Times New Roman" w:cs="Times New Roman"/>
                <w:i/>
                <w:iCs/>
                <w:lang w:val="id-ID"/>
              </w:rPr>
              <w:t>Conditional Share Sale and Purchase Agreement</w:t>
            </w:r>
            <w:r w:rsidRPr="00AA2307">
              <w:rPr>
                <w:rFonts w:ascii="Times New Roman" w:hAnsi="Times New Roman" w:cs="Times New Roman"/>
                <w:lang w:val="id-ID"/>
              </w:rPr>
              <w:t xml:space="preserve">) oleh dan di antara </w:t>
            </w:r>
            <w:r w:rsidR="00DE2963" w:rsidRPr="00AA2307">
              <w:rPr>
                <w:rFonts w:ascii="Times New Roman" w:eastAsia="Arial" w:hAnsi="Times New Roman" w:cs="Times New Roman"/>
                <w:highlight w:val="white"/>
                <w:lang w:val="id-ID"/>
              </w:rPr>
              <w:t>Regene</w:t>
            </w:r>
            <w:r w:rsidR="00DE2963" w:rsidRPr="00AA2307">
              <w:rPr>
                <w:rFonts w:ascii="Times New Roman" w:hAnsi="Times New Roman" w:cs="Times New Roman"/>
                <w:lang w:val="id-ID"/>
              </w:rPr>
              <w:t xml:space="preserve"> </w:t>
            </w:r>
            <w:r w:rsidRPr="00AA2307">
              <w:rPr>
                <w:rFonts w:ascii="Times New Roman" w:hAnsi="Times New Roman" w:cs="Times New Roman"/>
                <w:lang w:val="id-ID"/>
              </w:rPr>
              <w:t xml:space="preserve">dan </w:t>
            </w:r>
            <w:r w:rsidR="00DE2963" w:rsidRPr="00AA2307">
              <w:rPr>
                <w:rFonts w:ascii="Times New Roman" w:hAnsi="Times New Roman" w:cs="Times New Roman"/>
                <w:lang w:val="id-ID"/>
              </w:rPr>
              <w:t>Perseroan</w:t>
            </w:r>
            <w:r w:rsidR="009531F7">
              <w:rPr>
                <w:rFonts w:ascii="Times New Roman" w:hAnsi="Times New Roman" w:cs="Times New Roman"/>
              </w:rPr>
              <w:t xml:space="preserve"> </w:t>
            </w:r>
            <w:r w:rsidR="009531F7">
              <w:rPr>
                <w:rFonts w:ascii="Times New Roman" w:hAnsi="Times New Roman" w:cs="Times New Roman"/>
              </w:rPr>
              <w:t>(“</w:t>
            </w:r>
            <w:r w:rsidR="009531F7">
              <w:rPr>
                <w:rFonts w:ascii="Times New Roman" w:hAnsi="Times New Roman" w:cs="Times New Roman"/>
                <w:b/>
                <w:bCs/>
              </w:rPr>
              <w:t>Perjanjian Pengikatan Jual Beli Saham</w:t>
            </w:r>
            <w:r w:rsidR="009531F7" w:rsidRPr="004A53E7">
              <w:rPr>
                <w:rFonts w:ascii="Times New Roman" w:hAnsi="Times New Roman" w:cs="Times New Roman"/>
              </w:rPr>
              <w:t>”)</w:t>
            </w:r>
            <w:r w:rsidRPr="00AA2307">
              <w:rPr>
                <w:rFonts w:ascii="Times New Roman" w:eastAsia="MS Mincho" w:hAnsi="Times New Roman" w:cs="Times New Roman"/>
                <w:lang w:val="id-ID"/>
              </w:rPr>
              <w:t>.</w:t>
            </w:r>
          </w:p>
        </w:tc>
      </w:tr>
      <w:tr w:rsidR="004873FA" w:rsidRPr="00AA2307" w14:paraId="0DDCD480" w14:textId="77777777">
        <w:tc>
          <w:tcPr>
            <w:tcW w:w="9435" w:type="dxa"/>
            <w:shd w:val="clear" w:color="auto" w:fill="FFFFFF"/>
          </w:tcPr>
          <w:p w14:paraId="6F8CF696" w14:textId="77777777" w:rsidR="004873FA" w:rsidRPr="00AA2307" w:rsidRDefault="004873FA" w:rsidP="004873FA">
            <w:pPr>
              <w:pBdr>
                <w:top w:val="nil"/>
                <w:left w:val="nil"/>
                <w:bottom w:val="nil"/>
                <w:right w:val="nil"/>
                <w:between w:val="nil"/>
              </w:pBdr>
              <w:jc w:val="both"/>
              <w:rPr>
                <w:rFonts w:ascii="Times New Roman" w:eastAsia="Arial" w:hAnsi="Times New Roman" w:cs="Times New Roman"/>
                <w:b/>
                <w:color w:val="000000"/>
                <w:highlight w:val="white"/>
                <w:lang w:val="id-ID"/>
              </w:rPr>
            </w:pPr>
          </w:p>
        </w:tc>
      </w:tr>
      <w:tr w:rsidR="004315F2" w:rsidRPr="00AA2307" w14:paraId="24AEF26C" w14:textId="77777777">
        <w:tc>
          <w:tcPr>
            <w:tcW w:w="9435" w:type="dxa"/>
            <w:shd w:val="clear" w:color="auto" w:fill="FFFFFF"/>
          </w:tcPr>
          <w:p w14:paraId="1C8490AD" w14:textId="2C8B392C" w:rsidR="004315F2" w:rsidRPr="00AA2307" w:rsidRDefault="00192B38" w:rsidP="00024FD5">
            <w:pPr>
              <w:pStyle w:val="NormalWeb"/>
              <w:numPr>
                <w:ilvl w:val="0"/>
                <w:numId w:val="13"/>
              </w:numPr>
              <w:pBdr>
                <w:top w:val="nil"/>
                <w:left w:val="nil"/>
                <w:bottom w:val="nil"/>
                <w:right w:val="nil"/>
                <w:between w:val="nil"/>
              </w:pBdr>
              <w:spacing w:before="0" w:beforeAutospacing="0" w:after="0" w:afterAutospacing="0"/>
              <w:jc w:val="both"/>
              <w:rPr>
                <w:rFonts w:eastAsia="Arial"/>
                <w:color w:val="000000"/>
                <w:sz w:val="22"/>
                <w:szCs w:val="22"/>
                <w:highlight w:val="white"/>
                <w:lang w:val="id-ID"/>
              </w:rPr>
            </w:pPr>
            <w:r w:rsidRPr="00AA2307">
              <w:rPr>
                <w:rFonts w:eastAsia="Arial"/>
                <w:b/>
                <w:color w:val="000000"/>
                <w:sz w:val="22"/>
                <w:szCs w:val="22"/>
                <w:highlight w:val="white"/>
                <w:lang w:val="id-ID"/>
              </w:rPr>
              <w:t>MEMBERIKAN</w:t>
            </w:r>
            <w:r w:rsidRPr="00AA2307">
              <w:rPr>
                <w:sz w:val="22"/>
                <w:szCs w:val="22"/>
                <w:lang w:val="id-ID"/>
              </w:rPr>
              <w:t xml:space="preserve"> </w:t>
            </w:r>
            <w:r w:rsidR="00593BFC" w:rsidRPr="00AA2307">
              <w:rPr>
                <w:sz w:val="22"/>
                <w:szCs w:val="22"/>
                <w:lang w:val="id-ID"/>
              </w:rPr>
              <w:t>kuasa dengan hak substitusi kepada Direksi Perseroan untuk menghadap kepada semua pihak dan instansi pemerintahan yang berwenang termasuk Menteri Hukum dan Hak Asasi Manusia (“</w:t>
            </w:r>
            <w:r w:rsidR="00043866">
              <w:rPr>
                <w:b/>
                <w:bCs/>
                <w:sz w:val="22"/>
                <w:szCs w:val="22"/>
                <w:lang w:val="en-US"/>
              </w:rPr>
              <w:t>Menkumham</w:t>
            </w:r>
            <w:r w:rsidR="00593BFC" w:rsidRPr="00AA2307">
              <w:rPr>
                <w:sz w:val="22"/>
                <w:szCs w:val="22"/>
                <w:lang w:val="id-ID"/>
              </w:rPr>
              <w:t xml:space="preserve">”), Notaris dan instansi berwenang lainnya dan pihak ketiga untuk melaksanakan keputusan di atas; (ii) untuk melakukan semua tindakan yang diperlukan berkaitan dengan keputusan ini; dan (iii) untuk hal lebih lanjut, untuk menjelaskan dan membuat atau menandatangani surat, akta, permohonan dengan </w:t>
            </w:r>
            <w:r w:rsidR="00043866">
              <w:rPr>
                <w:sz w:val="22"/>
                <w:szCs w:val="22"/>
                <w:lang w:val="en-US"/>
              </w:rPr>
              <w:t>Menkumham</w:t>
            </w:r>
            <w:r w:rsidR="00593BFC" w:rsidRPr="00AA2307">
              <w:rPr>
                <w:sz w:val="22"/>
                <w:szCs w:val="22"/>
                <w:lang w:val="id-ID"/>
              </w:rPr>
              <w:t>, dan institusi pemerintah, dan dokumen hukum lainnya yang berkaitan dengan hal-hal tersebut di atas dan untuk menyatakan kembali keputusan ini, baik seluruh maupun sebagian ke dalam akta Notaris yang ditetapkan dalam kuasa ini.</w:t>
            </w:r>
          </w:p>
        </w:tc>
      </w:tr>
      <w:tr w:rsidR="004315F2" w:rsidRPr="00AA2307" w14:paraId="2B4F75CB" w14:textId="77777777">
        <w:tc>
          <w:tcPr>
            <w:tcW w:w="9435" w:type="dxa"/>
            <w:shd w:val="clear" w:color="auto" w:fill="FFFFFF"/>
          </w:tcPr>
          <w:p w14:paraId="0E1A8AE7" w14:textId="77777777" w:rsidR="004315F2" w:rsidRPr="00AA2307" w:rsidRDefault="004315F2" w:rsidP="00593BFC">
            <w:pPr>
              <w:jc w:val="both"/>
              <w:rPr>
                <w:rFonts w:ascii="Times New Roman" w:eastAsia="Arial" w:hAnsi="Times New Roman" w:cs="Times New Roman"/>
                <w:highlight w:val="white"/>
                <w:lang w:val="id-ID"/>
              </w:rPr>
            </w:pPr>
          </w:p>
        </w:tc>
      </w:tr>
      <w:tr w:rsidR="004315F2" w:rsidRPr="00AA2307" w14:paraId="598FF4AD" w14:textId="77777777">
        <w:tc>
          <w:tcPr>
            <w:tcW w:w="9435" w:type="dxa"/>
            <w:shd w:val="clear" w:color="auto" w:fill="FFFFFF"/>
          </w:tcPr>
          <w:p w14:paraId="2266B73A" w14:textId="1BC90127" w:rsidR="004315F2" w:rsidRPr="00AA2307" w:rsidRDefault="00000000">
            <w:pPr>
              <w:jc w:val="both"/>
              <w:rPr>
                <w:rFonts w:ascii="Times New Roman" w:eastAsia="Arial" w:hAnsi="Times New Roman" w:cs="Times New Roman"/>
                <w:color w:val="000000"/>
                <w:highlight w:val="white"/>
                <w:lang w:val="id-ID"/>
              </w:rPr>
            </w:pPr>
            <w:r w:rsidRPr="00AA2307">
              <w:rPr>
                <w:rFonts w:ascii="Times New Roman" w:eastAsia="Arial" w:hAnsi="Times New Roman" w:cs="Times New Roman"/>
                <w:color w:val="000000"/>
                <w:highlight w:val="white"/>
                <w:lang w:val="id-ID"/>
              </w:rPr>
              <w:t xml:space="preserve">Keputusan </w:t>
            </w:r>
            <w:r w:rsidR="00593BFC" w:rsidRPr="00AA2307">
              <w:rPr>
                <w:rFonts w:ascii="Times New Roman" w:eastAsia="Arial" w:hAnsi="Times New Roman" w:cs="Times New Roman"/>
                <w:color w:val="000000"/>
                <w:highlight w:val="white"/>
                <w:lang w:val="id-ID"/>
              </w:rPr>
              <w:t>Dewan Komisaris</w:t>
            </w:r>
            <w:r w:rsidRPr="00AA2307">
              <w:rPr>
                <w:rFonts w:ascii="Times New Roman" w:eastAsia="Arial" w:hAnsi="Times New Roman" w:cs="Times New Roman"/>
                <w:color w:val="000000"/>
                <w:highlight w:val="white"/>
                <w:lang w:val="id-ID"/>
              </w:rPr>
              <w:t xml:space="preserve"> ini berlaku sejak tanggal </w:t>
            </w:r>
            <w:r w:rsidR="00AA2307" w:rsidRPr="00AA2307">
              <w:rPr>
                <w:rFonts w:ascii="Times New Roman" w:eastAsia="Arial" w:hAnsi="Times New Roman" w:cs="Times New Roman"/>
                <w:color w:val="000000"/>
                <w:highlight w:val="white"/>
                <w:lang w:val="id-ID"/>
              </w:rPr>
              <w:t>penandatanganan</w:t>
            </w:r>
            <w:r w:rsidRPr="00AA2307">
              <w:rPr>
                <w:rFonts w:ascii="Times New Roman" w:eastAsia="Arial" w:hAnsi="Times New Roman" w:cs="Times New Roman"/>
                <w:color w:val="000000"/>
                <w:highlight w:val="white"/>
                <w:lang w:val="id-ID"/>
              </w:rPr>
              <w:t xml:space="preserve"> di bawah ini.</w:t>
            </w:r>
          </w:p>
        </w:tc>
      </w:tr>
    </w:tbl>
    <w:p w14:paraId="02AA6B11" w14:textId="77777777" w:rsidR="004315F2" w:rsidRPr="00AA2307" w:rsidRDefault="004315F2">
      <w:pPr>
        <w:spacing w:after="0" w:line="240" w:lineRule="auto"/>
        <w:jc w:val="center"/>
        <w:rPr>
          <w:rFonts w:ascii="Times New Roman" w:hAnsi="Times New Roman" w:cs="Times New Roman"/>
          <w:highlight w:val="white"/>
          <w:lang w:val="id-ID"/>
        </w:rPr>
      </w:pP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4315F2" w:rsidRPr="00AA2307" w14:paraId="30F8E587" w14:textId="77777777">
        <w:tc>
          <w:tcPr>
            <w:tcW w:w="9350" w:type="dxa"/>
            <w:gridSpan w:val="2"/>
          </w:tcPr>
          <w:p w14:paraId="5EDA12F6" w14:textId="637B64BC" w:rsidR="004315F2" w:rsidRPr="00AA2307" w:rsidRDefault="00000000">
            <w:pPr>
              <w:jc w:val="center"/>
              <w:rPr>
                <w:rFonts w:ascii="Times New Roman" w:eastAsia="Arial" w:hAnsi="Times New Roman" w:cs="Times New Roman"/>
                <w:b/>
                <w:i/>
                <w:highlight w:val="white"/>
                <w:lang w:val="id-ID"/>
              </w:rPr>
            </w:pPr>
            <w:r w:rsidRPr="00AA2307">
              <w:rPr>
                <w:rFonts w:ascii="Times New Roman" w:eastAsia="Arial" w:hAnsi="Times New Roman" w:cs="Times New Roman"/>
                <w:b/>
                <w:i/>
                <w:highlight w:val="white"/>
                <w:lang w:val="id-ID"/>
              </w:rPr>
              <w:t>DEWAN KOMISARIS</w:t>
            </w:r>
          </w:p>
          <w:p w14:paraId="6F165284" w14:textId="50B103B2" w:rsidR="004315F2" w:rsidRPr="00AA2307" w:rsidRDefault="00000000">
            <w:pPr>
              <w:jc w:val="center"/>
              <w:rPr>
                <w:rFonts w:ascii="Times New Roman" w:eastAsia="Arial" w:hAnsi="Times New Roman" w:cs="Times New Roman"/>
                <w:b/>
                <w:highlight w:val="white"/>
                <w:lang w:val="id-ID"/>
              </w:rPr>
            </w:pPr>
            <w:r w:rsidRPr="00AA2307">
              <w:rPr>
                <w:rFonts w:ascii="Times New Roman" w:eastAsia="Arial" w:hAnsi="Times New Roman" w:cs="Times New Roman"/>
                <w:b/>
                <w:highlight w:val="white"/>
                <w:lang w:val="id-ID"/>
              </w:rPr>
              <w:t xml:space="preserve">PT </w:t>
            </w:r>
            <w:r w:rsidR="00954334" w:rsidRPr="00AA2307">
              <w:rPr>
                <w:rFonts w:ascii="Times New Roman" w:eastAsia="Arial" w:hAnsi="Times New Roman" w:cs="Times New Roman"/>
                <w:b/>
                <w:highlight w:val="white"/>
                <w:lang w:val="id-ID"/>
              </w:rPr>
              <w:t>PRIMA CAKRAWALA INDONESIA</w:t>
            </w:r>
          </w:p>
          <w:p w14:paraId="4668790E" w14:textId="77777777" w:rsidR="004315F2" w:rsidRPr="00AA2307" w:rsidRDefault="004315F2">
            <w:pPr>
              <w:jc w:val="center"/>
              <w:rPr>
                <w:rFonts w:ascii="Times New Roman" w:eastAsia="Arial" w:hAnsi="Times New Roman" w:cs="Times New Roman"/>
                <w:b/>
                <w:highlight w:val="white"/>
                <w:lang w:val="id-ID"/>
              </w:rPr>
            </w:pPr>
          </w:p>
        </w:tc>
      </w:tr>
      <w:tr w:rsidR="004315F2" w:rsidRPr="00AA2307" w14:paraId="1B07E4BE" w14:textId="77777777">
        <w:trPr>
          <w:trHeight w:val="165"/>
        </w:trPr>
        <w:tc>
          <w:tcPr>
            <w:tcW w:w="4675" w:type="dxa"/>
          </w:tcPr>
          <w:p w14:paraId="578A44E8" w14:textId="77777777" w:rsidR="004315F2" w:rsidRPr="00AA2307" w:rsidRDefault="004315F2">
            <w:pPr>
              <w:jc w:val="center"/>
              <w:rPr>
                <w:rFonts w:ascii="Times New Roman" w:eastAsia="Arial" w:hAnsi="Times New Roman" w:cs="Times New Roman"/>
                <w:highlight w:val="white"/>
                <w:lang w:val="id-ID"/>
              </w:rPr>
            </w:pPr>
          </w:p>
        </w:tc>
        <w:tc>
          <w:tcPr>
            <w:tcW w:w="4675" w:type="dxa"/>
          </w:tcPr>
          <w:p w14:paraId="6E826274" w14:textId="77777777" w:rsidR="004315F2" w:rsidRPr="00AA2307" w:rsidRDefault="004315F2">
            <w:pPr>
              <w:jc w:val="center"/>
              <w:rPr>
                <w:rFonts w:ascii="Times New Roman" w:eastAsia="Arial" w:hAnsi="Times New Roman" w:cs="Times New Roman"/>
                <w:highlight w:val="white"/>
                <w:lang w:val="id-ID"/>
              </w:rPr>
            </w:pPr>
          </w:p>
        </w:tc>
      </w:tr>
      <w:tr w:rsidR="004315F2" w:rsidRPr="00AA2307" w14:paraId="281B3973" w14:textId="77777777">
        <w:tc>
          <w:tcPr>
            <w:tcW w:w="4675" w:type="dxa"/>
          </w:tcPr>
          <w:p w14:paraId="18DF1662" w14:textId="77777777" w:rsidR="004315F2" w:rsidRPr="00AA2307" w:rsidRDefault="004315F2">
            <w:pPr>
              <w:spacing w:after="160" w:line="259" w:lineRule="auto"/>
              <w:jc w:val="center"/>
              <w:rPr>
                <w:rFonts w:ascii="Times New Roman" w:eastAsia="Arial" w:hAnsi="Times New Roman" w:cs="Times New Roman"/>
                <w:b/>
                <w:highlight w:val="white"/>
                <w:lang w:val="id-ID"/>
              </w:rPr>
            </w:pPr>
          </w:p>
        </w:tc>
        <w:tc>
          <w:tcPr>
            <w:tcW w:w="4675" w:type="dxa"/>
          </w:tcPr>
          <w:p w14:paraId="416A5A69" w14:textId="77777777" w:rsidR="004315F2" w:rsidRPr="00AA2307" w:rsidRDefault="004315F2">
            <w:pPr>
              <w:jc w:val="center"/>
              <w:rPr>
                <w:rFonts w:ascii="Times New Roman" w:eastAsia="Arial" w:hAnsi="Times New Roman" w:cs="Times New Roman"/>
                <w:b/>
                <w:highlight w:val="white"/>
                <w:lang w:val="id-ID"/>
              </w:rPr>
            </w:pPr>
          </w:p>
        </w:tc>
      </w:tr>
      <w:tr w:rsidR="004315F2" w:rsidRPr="00AA2307" w14:paraId="173EFEE1" w14:textId="77777777" w:rsidTr="00954334">
        <w:trPr>
          <w:trHeight w:val="934"/>
        </w:trPr>
        <w:tc>
          <w:tcPr>
            <w:tcW w:w="4675" w:type="dxa"/>
          </w:tcPr>
          <w:p w14:paraId="3777B94F" w14:textId="77777777" w:rsidR="004315F2" w:rsidRPr="00AA2307" w:rsidRDefault="004315F2">
            <w:pPr>
              <w:jc w:val="center"/>
              <w:rPr>
                <w:rFonts w:ascii="Times New Roman" w:eastAsia="Arial" w:hAnsi="Times New Roman" w:cs="Times New Roman"/>
                <w:highlight w:val="white"/>
                <w:lang w:val="id-ID"/>
              </w:rPr>
            </w:pPr>
          </w:p>
          <w:p w14:paraId="070CDEF3" w14:textId="77777777" w:rsidR="004315F2" w:rsidRPr="00AA2307" w:rsidRDefault="004315F2">
            <w:pPr>
              <w:jc w:val="center"/>
              <w:rPr>
                <w:rFonts w:ascii="Times New Roman" w:eastAsia="Arial" w:hAnsi="Times New Roman" w:cs="Times New Roman"/>
                <w:highlight w:val="white"/>
                <w:lang w:val="id-ID"/>
              </w:rPr>
            </w:pPr>
          </w:p>
          <w:p w14:paraId="13D1BC30" w14:textId="77777777" w:rsidR="004315F2" w:rsidRPr="00AA2307" w:rsidRDefault="004315F2">
            <w:pPr>
              <w:jc w:val="center"/>
              <w:rPr>
                <w:rFonts w:ascii="Times New Roman" w:eastAsia="Arial" w:hAnsi="Times New Roman" w:cs="Times New Roman"/>
                <w:highlight w:val="white"/>
                <w:lang w:val="id-ID"/>
              </w:rPr>
            </w:pPr>
          </w:p>
          <w:p w14:paraId="702D41D8" w14:textId="77777777" w:rsidR="004315F2" w:rsidRPr="00AA2307" w:rsidRDefault="004315F2">
            <w:pPr>
              <w:jc w:val="center"/>
              <w:rPr>
                <w:rFonts w:ascii="Times New Roman" w:eastAsia="Arial" w:hAnsi="Times New Roman" w:cs="Times New Roman"/>
                <w:highlight w:val="white"/>
                <w:lang w:val="id-ID"/>
              </w:rPr>
            </w:pPr>
          </w:p>
          <w:p w14:paraId="1343F574" w14:textId="77777777" w:rsidR="004315F2" w:rsidRPr="00AA2307" w:rsidRDefault="004315F2">
            <w:pPr>
              <w:pBdr>
                <w:bottom w:val="single" w:sz="12" w:space="1" w:color="000000"/>
              </w:pBdr>
              <w:jc w:val="center"/>
              <w:rPr>
                <w:rFonts w:ascii="Times New Roman" w:eastAsia="Arial" w:hAnsi="Times New Roman" w:cs="Times New Roman"/>
                <w:highlight w:val="white"/>
                <w:lang w:val="id-ID"/>
              </w:rPr>
            </w:pPr>
          </w:p>
          <w:p w14:paraId="312C31E4" w14:textId="77777777" w:rsidR="004315F2" w:rsidRPr="00AA2307" w:rsidRDefault="004315F2">
            <w:pPr>
              <w:pBdr>
                <w:bottom w:val="single" w:sz="12" w:space="1" w:color="000000"/>
              </w:pBdr>
              <w:jc w:val="center"/>
              <w:rPr>
                <w:rFonts w:ascii="Times New Roman" w:eastAsia="Arial" w:hAnsi="Times New Roman" w:cs="Times New Roman"/>
                <w:highlight w:val="white"/>
                <w:lang w:val="id-ID"/>
              </w:rPr>
            </w:pPr>
          </w:p>
          <w:p w14:paraId="0782CE00" w14:textId="5DB93089" w:rsidR="004315F2" w:rsidRPr="00AA2307" w:rsidRDefault="00000000" w:rsidP="005142D3">
            <w:pPr>
              <w:jc w:val="both"/>
              <w:rPr>
                <w:rFonts w:ascii="Times New Roman" w:eastAsia="Arial" w:hAnsi="Times New Roman" w:cs="Times New Roman"/>
                <w:highlight w:val="white"/>
                <w:lang w:val="id-ID"/>
              </w:rPr>
            </w:pPr>
            <w:r w:rsidRPr="00AA2307">
              <w:rPr>
                <w:rFonts w:ascii="Times New Roman" w:eastAsia="Arial" w:hAnsi="Times New Roman" w:cs="Times New Roman"/>
                <w:highlight w:val="white"/>
                <w:lang w:val="id-ID"/>
              </w:rPr>
              <w:t>Nama</w:t>
            </w:r>
            <w:r w:rsidR="00E16358" w:rsidRPr="00AA2307">
              <w:rPr>
                <w:rFonts w:ascii="Times New Roman" w:eastAsia="Arial" w:hAnsi="Times New Roman" w:cs="Times New Roman"/>
                <w:highlight w:val="white"/>
                <w:lang w:val="id-ID"/>
              </w:rPr>
              <w:t xml:space="preserve">      </w:t>
            </w:r>
            <w:r w:rsidR="00E16358">
              <w:rPr>
                <w:rFonts w:ascii="Times New Roman" w:eastAsia="Arial" w:hAnsi="Times New Roman" w:cs="Times New Roman"/>
                <w:highlight w:val="white"/>
              </w:rPr>
              <w:t xml:space="preserve">   </w:t>
            </w:r>
            <w:r w:rsidRPr="00E16358">
              <w:rPr>
                <w:rFonts w:ascii="Times New Roman" w:eastAsia="Arial" w:hAnsi="Times New Roman" w:cs="Times New Roman"/>
                <w:iCs/>
                <w:highlight w:val="white"/>
                <w:lang w:val="id-ID"/>
              </w:rPr>
              <w:t>:</w:t>
            </w:r>
            <w:r w:rsidRPr="00AA2307">
              <w:rPr>
                <w:rFonts w:ascii="Times New Roman" w:eastAsia="Arial" w:hAnsi="Times New Roman" w:cs="Times New Roman"/>
                <w:i/>
                <w:highlight w:val="white"/>
                <w:lang w:val="id-ID"/>
              </w:rPr>
              <w:t xml:space="preserve"> </w:t>
            </w:r>
            <w:r w:rsidR="00954334" w:rsidRPr="00AA2307">
              <w:rPr>
                <w:rFonts w:ascii="Times New Roman" w:eastAsia="Arial" w:hAnsi="Times New Roman" w:cs="Times New Roman"/>
                <w:highlight w:val="white"/>
                <w:lang w:val="id-ID"/>
              </w:rPr>
              <w:t>Harino</w:t>
            </w:r>
          </w:p>
          <w:p w14:paraId="40258521" w14:textId="531E9236" w:rsidR="004315F2" w:rsidRPr="00AA2307" w:rsidRDefault="00000000" w:rsidP="005142D3">
            <w:pPr>
              <w:jc w:val="both"/>
              <w:rPr>
                <w:rFonts w:ascii="Times New Roman" w:eastAsia="Arial" w:hAnsi="Times New Roman" w:cs="Times New Roman"/>
                <w:highlight w:val="white"/>
                <w:lang w:val="id-ID"/>
              </w:rPr>
            </w:pPr>
            <w:r w:rsidRPr="00AA2307">
              <w:rPr>
                <w:rFonts w:ascii="Times New Roman" w:eastAsia="Arial" w:hAnsi="Times New Roman" w:cs="Times New Roman"/>
                <w:highlight w:val="white"/>
                <w:lang w:val="id-ID"/>
              </w:rPr>
              <w:t>Jabatan</w:t>
            </w:r>
            <w:r w:rsidR="00E16358" w:rsidRPr="00AA2307">
              <w:rPr>
                <w:rFonts w:ascii="Times New Roman" w:eastAsia="Arial" w:hAnsi="Times New Roman" w:cs="Times New Roman"/>
                <w:highlight w:val="white"/>
                <w:lang w:val="id-ID"/>
              </w:rPr>
              <w:t xml:space="preserve">      </w:t>
            </w:r>
            <w:r w:rsidR="00E16358">
              <w:rPr>
                <w:rFonts w:ascii="Times New Roman" w:eastAsia="Arial" w:hAnsi="Times New Roman" w:cs="Times New Roman"/>
                <w:highlight w:val="white"/>
              </w:rPr>
              <w:t xml:space="preserve"> </w:t>
            </w:r>
            <w:r w:rsidRPr="00AA2307">
              <w:rPr>
                <w:rFonts w:ascii="Times New Roman" w:eastAsia="Arial" w:hAnsi="Times New Roman" w:cs="Times New Roman"/>
                <w:highlight w:val="white"/>
                <w:lang w:val="id-ID"/>
              </w:rPr>
              <w:t xml:space="preserve">: Komisaris </w:t>
            </w:r>
          </w:p>
          <w:p w14:paraId="61DE9201" w14:textId="58F635F0" w:rsidR="004315F2" w:rsidRPr="00AA2307" w:rsidRDefault="00000000" w:rsidP="00E16358">
            <w:pPr>
              <w:rPr>
                <w:rFonts w:ascii="Times New Roman" w:eastAsia="Arial" w:hAnsi="Times New Roman" w:cs="Times New Roman"/>
                <w:highlight w:val="white"/>
                <w:lang w:val="id-ID"/>
              </w:rPr>
            </w:pPr>
            <w:r w:rsidRPr="00E16358">
              <w:rPr>
                <w:rFonts w:ascii="Times New Roman" w:eastAsia="Arial" w:hAnsi="Times New Roman" w:cs="Times New Roman"/>
                <w:iCs/>
                <w:highlight w:val="white"/>
                <w:lang w:val="id-ID"/>
              </w:rPr>
              <w:t>Tanggal</w:t>
            </w:r>
            <w:r w:rsidRPr="00AA2307">
              <w:rPr>
                <w:rFonts w:ascii="Times New Roman" w:eastAsia="Arial" w:hAnsi="Times New Roman" w:cs="Times New Roman"/>
                <w:highlight w:val="white"/>
                <w:lang w:val="id-ID"/>
              </w:rPr>
              <w:t xml:space="preserve">      :</w:t>
            </w:r>
          </w:p>
        </w:tc>
        <w:tc>
          <w:tcPr>
            <w:tcW w:w="4675" w:type="dxa"/>
          </w:tcPr>
          <w:p w14:paraId="767590C0" w14:textId="76347D41" w:rsidR="004315F2" w:rsidRPr="00AA2307" w:rsidRDefault="004315F2">
            <w:pPr>
              <w:ind w:left="350"/>
              <w:jc w:val="both"/>
              <w:rPr>
                <w:rFonts w:ascii="Times New Roman" w:eastAsia="Arial" w:hAnsi="Times New Roman" w:cs="Times New Roman"/>
                <w:highlight w:val="white"/>
                <w:lang w:val="id-ID"/>
              </w:rPr>
            </w:pPr>
          </w:p>
        </w:tc>
      </w:tr>
      <w:tr w:rsidR="004315F2" w:rsidRPr="00AA2307" w14:paraId="122134CF" w14:textId="77777777">
        <w:tc>
          <w:tcPr>
            <w:tcW w:w="4675" w:type="dxa"/>
          </w:tcPr>
          <w:p w14:paraId="66C4AB38" w14:textId="77777777" w:rsidR="004315F2" w:rsidRPr="00AA2307" w:rsidRDefault="004315F2">
            <w:pPr>
              <w:jc w:val="center"/>
              <w:rPr>
                <w:rFonts w:ascii="Times New Roman" w:eastAsia="Arial" w:hAnsi="Times New Roman" w:cs="Times New Roman"/>
                <w:highlight w:val="white"/>
                <w:lang w:val="id-ID"/>
              </w:rPr>
            </w:pPr>
          </w:p>
        </w:tc>
        <w:tc>
          <w:tcPr>
            <w:tcW w:w="4675" w:type="dxa"/>
          </w:tcPr>
          <w:p w14:paraId="21E96700" w14:textId="77777777" w:rsidR="004315F2" w:rsidRPr="00AA2307" w:rsidRDefault="004315F2">
            <w:pPr>
              <w:jc w:val="center"/>
              <w:rPr>
                <w:rFonts w:ascii="Times New Roman" w:eastAsia="Arial" w:hAnsi="Times New Roman" w:cs="Times New Roman"/>
                <w:highlight w:val="white"/>
                <w:lang w:val="id-ID"/>
              </w:rPr>
            </w:pPr>
          </w:p>
        </w:tc>
      </w:tr>
      <w:tr w:rsidR="004315F2" w:rsidRPr="00AA2307" w14:paraId="2971AC4C" w14:textId="77777777">
        <w:tc>
          <w:tcPr>
            <w:tcW w:w="4675" w:type="dxa"/>
          </w:tcPr>
          <w:p w14:paraId="74C27AE0" w14:textId="77777777" w:rsidR="004315F2" w:rsidRPr="00AA2307" w:rsidRDefault="004315F2">
            <w:pPr>
              <w:jc w:val="center"/>
              <w:rPr>
                <w:rFonts w:ascii="Times New Roman" w:eastAsia="Arial" w:hAnsi="Times New Roman" w:cs="Times New Roman"/>
                <w:highlight w:val="white"/>
                <w:lang w:val="id-ID"/>
              </w:rPr>
            </w:pPr>
          </w:p>
        </w:tc>
        <w:tc>
          <w:tcPr>
            <w:tcW w:w="4675" w:type="dxa"/>
          </w:tcPr>
          <w:p w14:paraId="63F0D6EA" w14:textId="77777777" w:rsidR="004315F2" w:rsidRPr="00AA2307" w:rsidRDefault="004315F2">
            <w:pPr>
              <w:jc w:val="center"/>
              <w:rPr>
                <w:rFonts w:ascii="Times New Roman" w:eastAsia="Arial" w:hAnsi="Times New Roman" w:cs="Times New Roman"/>
                <w:highlight w:val="white"/>
                <w:lang w:val="id-ID"/>
              </w:rPr>
            </w:pPr>
          </w:p>
        </w:tc>
      </w:tr>
      <w:tr w:rsidR="004315F2" w:rsidRPr="00AA2307" w14:paraId="7DAF10AA" w14:textId="77777777">
        <w:tc>
          <w:tcPr>
            <w:tcW w:w="4675" w:type="dxa"/>
          </w:tcPr>
          <w:p w14:paraId="1272A799" w14:textId="56B621B8" w:rsidR="004315F2" w:rsidRPr="00AA2307" w:rsidRDefault="004315F2">
            <w:pPr>
              <w:rPr>
                <w:rFonts w:ascii="Times New Roman" w:eastAsia="Arial" w:hAnsi="Times New Roman" w:cs="Times New Roman"/>
                <w:highlight w:val="white"/>
                <w:lang w:val="id-ID"/>
              </w:rPr>
            </w:pPr>
          </w:p>
        </w:tc>
        <w:tc>
          <w:tcPr>
            <w:tcW w:w="4675" w:type="dxa"/>
          </w:tcPr>
          <w:p w14:paraId="53945C8B" w14:textId="77777777" w:rsidR="004315F2" w:rsidRPr="00AA2307" w:rsidRDefault="004315F2">
            <w:pPr>
              <w:jc w:val="center"/>
              <w:rPr>
                <w:rFonts w:ascii="Times New Roman" w:eastAsia="Arial" w:hAnsi="Times New Roman" w:cs="Times New Roman"/>
                <w:highlight w:val="white"/>
                <w:lang w:val="id-ID"/>
              </w:rPr>
            </w:pPr>
          </w:p>
        </w:tc>
      </w:tr>
    </w:tbl>
    <w:p w14:paraId="401F5799" w14:textId="77777777" w:rsidR="004315F2" w:rsidRPr="00AA2307" w:rsidRDefault="004315F2">
      <w:pPr>
        <w:spacing w:after="0" w:line="240" w:lineRule="auto"/>
        <w:jc w:val="center"/>
        <w:rPr>
          <w:rFonts w:ascii="Times New Roman" w:hAnsi="Times New Roman" w:cs="Times New Roman"/>
          <w:highlight w:val="white"/>
          <w:lang w:val="id-ID"/>
        </w:rPr>
      </w:pPr>
    </w:p>
    <w:sectPr w:rsidR="004315F2" w:rsidRPr="00AA230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E4FD" w14:textId="77777777" w:rsidR="00871225" w:rsidRDefault="00871225">
      <w:pPr>
        <w:spacing w:after="0" w:line="240" w:lineRule="auto"/>
      </w:pPr>
      <w:r>
        <w:separator/>
      </w:r>
    </w:p>
  </w:endnote>
  <w:endnote w:type="continuationSeparator" w:id="0">
    <w:p w14:paraId="42D365F3" w14:textId="77777777" w:rsidR="00871225" w:rsidRDefault="0087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3655" w14:textId="77777777" w:rsidR="004315F2" w:rsidRDefault="00000000">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A407C4">
      <w:rPr>
        <w:rFonts w:ascii="Arial" w:eastAsia="Arial" w:hAnsi="Arial" w:cs="Arial"/>
        <w:noProof/>
        <w:color w:val="000000"/>
        <w:sz w:val="16"/>
        <w:szCs w:val="16"/>
      </w:rPr>
      <w:t>1</w:t>
    </w:r>
    <w:r>
      <w:rPr>
        <w:rFonts w:ascii="Arial" w:eastAsia="Arial" w:hAnsi="Arial" w:cs="Arial"/>
        <w:color w:val="000000"/>
        <w:sz w:val="16"/>
        <w:szCs w:val="16"/>
      </w:rPr>
      <w:fldChar w:fldCharType="end"/>
    </w:r>
  </w:p>
  <w:p w14:paraId="3FA30EA8" w14:textId="77777777" w:rsidR="004315F2" w:rsidRDefault="004315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45AC" w14:textId="77777777" w:rsidR="00871225" w:rsidRDefault="00871225">
      <w:pPr>
        <w:spacing w:after="0" w:line="240" w:lineRule="auto"/>
      </w:pPr>
      <w:r>
        <w:separator/>
      </w:r>
    </w:p>
  </w:footnote>
  <w:footnote w:type="continuationSeparator" w:id="0">
    <w:p w14:paraId="75D8A69E" w14:textId="77777777" w:rsidR="00871225" w:rsidRDefault="00871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D601" w14:textId="77777777" w:rsidR="00216DAB" w:rsidRPr="00327A7D" w:rsidRDefault="00216DAB" w:rsidP="00216DAB">
    <w:pPr>
      <w:pStyle w:val="Header"/>
      <w:jc w:val="center"/>
    </w:pPr>
    <w:r>
      <w:t>[</w:t>
    </w:r>
    <w:r w:rsidRPr="00327A7D">
      <w:rPr>
        <w:b/>
        <w:bCs/>
      </w:rPr>
      <w:t>KOP SURAT PT PRIMA CAKRAWALA INDONESIA</w:t>
    </w:r>
    <w:r>
      <w:t>]</w:t>
    </w:r>
  </w:p>
  <w:p w14:paraId="51F9B0B6" w14:textId="77777777" w:rsidR="00216DAB" w:rsidRDefault="00216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3132"/>
    <w:multiLevelType w:val="hybridMultilevel"/>
    <w:tmpl w:val="CE16B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802C1"/>
    <w:multiLevelType w:val="hybridMultilevel"/>
    <w:tmpl w:val="9DB6C88C"/>
    <w:lvl w:ilvl="0" w:tplc="1DF6E40A">
      <w:start w:val="1"/>
      <w:numFmt w:val="lowerRoman"/>
      <w:lvlText w:val="(%1)"/>
      <w:lvlJc w:val="left"/>
      <w:pPr>
        <w:ind w:left="1800" w:hanging="72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E00664"/>
    <w:multiLevelType w:val="hybridMultilevel"/>
    <w:tmpl w:val="65B0A8A8"/>
    <w:lvl w:ilvl="0" w:tplc="497ED5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6E2C45"/>
    <w:multiLevelType w:val="multilevel"/>
    <w:tmpl w:val="088C4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9F025A"/>
    <w:multiLevelType w:val="hybridMultilevel"/>
    <w:tmpl w:val="1812B98A"/>
    <w:lvl w:ilvl="0" w:tplc="0409000F">
      <w:start w:val="1"/>
      <w:numFmt w:val="decimal"/>
      <w:lvlText w:val="%1."/>
      <w:lvlJc w:val="left"/>
      <w:pPr>
        <w:tabs>
          <w:tab w:val="num" w:pos="720"/>
        </w:tabs>
        <w:ind w:left="720" w:hanging="360"/>
      </w:pPr>
      <w:rPr>
        <w:rFonts w:hint="default"/>
      </w:rPr>
    </w:lvl>
    <w:lvl w:ilvl="1" w:tplc="8E362A0C">
      <w:start w:val="1"/>
      <w:numFmt w:val="lowerLetter"/>
      <w:lvlText w:val="%2)"/>
      <w:lvlJc w:val="left"/>
      <w:pPr>
        <w:tabs>
          <w:tab w:val="num" w:pos="1440"/>
        </w:tabs>
        <w:ind w:left="1440" w:hanging="360"/>
      </w:pPr>
      <w:rPr>
        <w:rFonts w:hint="default"/>
        <w:b w:val="0"/>
      </w:rPr>
    </w:lvl>
    <w:lvl w:ilvl="2" w:tplc="59E069AC">
      <w:start w:val="1"/>
      <w:numFmt w:val="decimal"/>
      <w:lvlText w:val="(%3)"/>
      <w:lvlJc w:val="left"/>
      <w:pPr>
        <w:tabs>
          <w:tab w:val="num" w:pos="2445"/>
        </w:tabs>
        <w:ind w:left="2445" w:hanging="465"/>
      </w:pPr>
      <w:rPr>
        <w:rFonts w:hint="default"/>
        <w:b w:val="0"/>
      </w:rPr>
    </w:lvl>
    <w:lvl w:ilvl="3" w:tplc="BE3CB4A6">
      <w:start w:val="1"/>
      <w:numFmt w:val="lowerRoman"/>
      <w:lvlText w:val="(%4)"/>
      <w:lvlJc w:val="left"/>
      <w:pPr>
        <w:tabs>
          <w:tab w:val="num" w:pos="720"/>
        </w:tabs>
        <w:ind w:left="720" w:hanging="720"/>
      </w:pPr>
      <w:rPr>
        <w:rFonts w:hint="default"/>
      </w:rPr>
    </w:lvl>
    <w:lvl w:ilvl="4" w:tplc="6C988EE6">
      <w:start w:val="1"/>
      <w:numFmt w:val="lowerLetter"/>
      <w:lvlText w:val="%5."/>
      <w:lvlJc w:val="left"/>
      <w:pPr>
        <w:tabs>
          <w:tab w:val="num" w:pos="1080"/>
        </w:tabs>
        <w:ind w:left="1080" w:hanging="360"/>
      </w:pPr>
      <w:rPr>
        <w:rFonts w:hint="default"/>
        <w:b w:val="0"/>
        <w:sz w:val="25"/>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8F5511"/>
    <w:multiLevelType w:val="multilevel"/>
    <w:tmpl w:val="7EA8906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F71849"/>
    <w:multiLevelType w:val="hybridMultilevel"/>
    <w:tmpl w:val="8656385C"/>
    <w:lvl w:ilvl="0" w:tplc="90BCF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070F50"/>
    <w:multiLevelType w:val="hybridMultilevel"/>
    <w:tmpl w:val="96C4512A"/>
    <w:lvl w:ilvl="0" w:tplc="2CDA2C04">
      <w:start w:val="1"/>
      <w:numFmt w:val="lowerLetter"/>
      <w:lvlText w:val="(%1)"/>
      <w:lvlJc w:val="left"/>
      <w:pPr>
        <w:ind w:left="1440" w:hanging="360"/>
      </w:pPr>
      <w:rPr>
        <w:rFonts w:eastAsia="Arial" w:hint="default"/>
        <w:b w:val="0"/>
        <w:bCs/>
        <w:i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7A088C"/>
    <w:multiLevelType w:val="hybridMultilevel"/>
    <w:tmpl w:val="EB584FF8"/>
    <w:lvl w:ilvl="0" w:tplc="364C6A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4E17E2"/>
    <w:multiLevelType w:val="hybridMultilevel"/>
    <w:tmpl w:val="71960A88"/>
    <w:lvl w:ilvl="0" w:tplc="4F5C0A5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7C0C6C"/>
    <w:multiLevelType w:val="hybridMultilevel"/>
    <w:tmpl w:val="866C6464"/>
    <w:lvl w:ilvl="0" w:tplc="3B30F4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B7626C"/>
    <w:multiLevelType w:val="multilevel"/>
    <w:tmpl w:val="EA0C81AE"/>
    <w:lvl w:ilvl="0">
      <w:start w:val="1"/>
      <w:numFmt w:val="upperRoman"/>
      <w:lvlText w:val="%1."/>
      <w:lvlJc w:val="left"/>
      <w:pPr>
        <w:ind w:left="1080" w:hanging="72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FC372F"/>
    <w:multiLevelType w:val="hybridMultilevel"/>
    <w:tmpl w:val="887C6296"/>
    <w:lvl w:ilvl="0" w:tplc="5926958C">
      <w:start w:val="1"/>
      <w:numFmt w:val="lowerLetter"/>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3" w15:restartNumberingAfterBreak="0">
    <w:nsid w:val="7BC05A78"/>
    <w:multiLevelType w:val="hybridMultilevel"/>
    <w:tmpl w:val="BA20CD26"/>
    <w:lvl w:ilvl="0" w:tplc="9F4A4162">
      <w:start w:val="1"/>
      <w:numFmt w:val="lowerLetter"/>
      <w:lvlText w:val="(%1)"/>
      <w:lvlJc w:val="left"/>
      <w:pPr>
        <w:ind w:left="108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46239170">
    <w:abstractNumId w:val="5"/>
  </w:num>
  <w:num w:numId="2" w16cid:durableId="1169759590">
    <w:abstractNumId w:val="11"/>
  </w:num>
  <w:num w:numId="3" w16cid:durableId="1064371113">
    <w:abstractNumId w:val="3"/>
  </w:num>
  <w:num w:numId="4" w16cid:durableId="1582832873">
    <w:abstractNumId w:val="1"/>
  </w:num>
  <w:num w:numId="5" w16cid:durableId="1026370191">
    <w:abstractNumId w:val="4"/>
  </w:num>
  <w:num w:numId="6" w16cid:durableId="1563445857">
    <w:abstractNumId w:val="12"/>
  </w:num>
  <w:num w:numId="7" w16cid:durableId="125586694">
    <w:abstractNumId w:val="2"/>
  </w:num>
  <w:num w:numId="8" w16cid:durableId="1880822616">
    <w:abstractNumId w:val="7"/>
  </w:num>
  <w:num w:numId="9" w16cid:durableId="1919244257">
    <w:abstractNumId w:val="10"/>
  </w:num>
  <w:num w:numId="10" w16cid:durableId="754975807">
    <w:abstractNumId w:val="8"/>
  </w:num>
  <w:num w:numId="11" w16cid:durableId="1596548794">
    <w:abstractNumId w:val="6"/>
  </w:num>
  <w:num w:numId="12" w16cid:durableId="1054348841">
    <w:abstractNumId w:val="0"/>
  </w:num>
  <w:num w:numId="13" w16cid:durableId="1191651423">
    <w:abstractNumId w:val="9"/>
  </w:num>
  <w:num w:numId="14" w16cid:durableId="1856573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F2"/>
    <w:rsid w:val="00024FD5"/>
    <w:rsid w:val="00043866"/>
    <w:rsid w:val="00192B38"/>
    <w:rsid w:val="001C089C"/>
    <w:rsid w:val="00216DAB"/>
    <w:rsid w:val="00233170"/>
    <w:rsid w:val="002E3927"/>
    <w:rsid w:val="00395665"/>
    <w:rsid w:val="003A5248"/>
    <w:rsid w:val="003D26C8"/>
    <w:rsid w:val="004315F2"/>
    <w:rsid w:val="004612B3"/>
    <w:rsid w:val="004873FA"/>
    <w:rsid w:val="005142D3"/>
    <w:rsid w:val="00522CA5"/>
    <w:rsid w:val="00593BFC"/>
    <w:rsid w:val="00611B7F"/>
    <w:rsid w:val="006C75CD"/>
    <w:rsid w:val="00744283"/>
    <w:rsid w:val="008255E3"/>
    <w:rsid w:val="008330CF"/>
    <w:rsid w:val="00871225"/>
    <w:rsid w:val="00893946"/>
    <w:rsid w:val="008A21CA"/>
    <w:rsid w:val="008C068B"/>
    <w:rsid w:val="008D7866"/>
    <w:rsid w:val="008E70D6"/>
    <w:rsid w:val="009531F7"/>
    <w:rsid w:val="00954334"/>
    <w:rsid w:val="00A407C4"/>
    <w:rsid w:val="00A82884"/>
    <w:rsid w:val="00AA2307"/>
    <w:rsid w:val="00AC47E2"/>
    <w:rsid w:val="00AF0A5C"/>
    <w:rsid w:val="00BB4A8A"/>
    <w:rsid w:val="00C1229D"/>
    <w:rsid w:val="00C33828"/>
    <w:rsid w:val="00D1039C"/>
    <w:rsid w:val="00DE2963"/>
    <w:rsid w:val="00E16358"/>
    <w:rsid w:val="00E46FDC"/>
    <w:rsid w:val="00E5595F"/>
    <w:rsid w:val="00E81A36"/>
    <w:rsid w:val="00F061FE"/>
    <w:rsid w:val="00F41EF9"/>
    <w:rsid w:val="00F60357"/>
    <w:rsid w:val="00F951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A9FE156"/>
  <w15:docId w15:val="{B3E9D7AB-0797-2A48-A676-45A54484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7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D35"/>
    <w:pPr>
      <w:ind w:left="720"/>
      <w:contextualSpacing/>
    </w:pPr>
  </w:style>
  <w:style w:type="character" w:styleId="CommentReference">
    <w:name w:val="annotation reference"/>
    <w:basedOn w:val="DefaultParagraphFont"/>
    <w:uiPriority w:val="99"/>
    <w:semiHidden/>
    <w:unhideWhenUsed/>
    <w:rsid w:val="00C63C69"/>
    <w:rPr>
      <w:sz w:val="16"/>
      <w:szCs w:val="16"/>
    </w:rPr>
  </w:style>
  <w:style w:type="paragraph" w:styleId="CommentText">
    <w:name w:val="annotation text"/>
    <w:basedOn w:val="Normal"/>
    <w:link w:val="CommentTextChar"/>
    <w:uiPriority w:val="99"/>
    <w:unhideWhenUsed/>
    <w:rsid w:val="00C63C69"/>
    <w:pPr>
      <w:spacing w:line="240" w:lineRule="auto"/>
    </w:pPr>
    <w:rPr>
      <w:sz w:val="20"/>
      <w:szCs w:val="20"/>
    </w:rPr>
  </w:style>
  <w:style w:type="character" w:customStyle="1" w:styleId="CommentTextChar">
    <w:name w:val="Comment Text Char"/>
    <w:basedOn w:val="DefaultParagraphFont"/>
    <w:link w:val="CommentText"/>
    <w:uiPriority w:val="99"/>
    <w:rsid w:val="00C63C69"/>
    <w:rPr>
      <w:sz w:val="20"/>
      <w:szCs w:val="20"/>
    </w:rPr>
  </w:style>
  <w:style w:type="paragraph" w:styleId="CommentSubject">
    <w:name w:val="annotation subject"/>
    <w:basedOn w:val="CommentText"/>
    <w:next w:val="CommentText"/>
    <w:link w:val="CommentSubjectChar"/>
    <w:uiPriority w:val="99"/>
    <w:semiHidden/>
    <w:unhideWhenUsed/>
    <w:rsid w:val="00C63C69"/>
    <w:rPr>
      <w:b/>
      <w:bCs/>
    </w:rPr>
  </w:style>
  <w:style w:type="character" w:customStyle="1" w:styleId="CommentSubjectChar">
    <w:name w:val="Comment Subject Char"/>
    <w:basedOn w:val="CommentTextChar"/>
    <w:link w:val="CommentSubject"/>
    <w:uiPriority w:val="99"/>
    <w:semiHidden/>
    <w:rsid w:val="00C63C69"/>
    <w:rPr>
      <w:b/>
      <w:bCs/>
      <w:sz w:val="20"/>
      <w:szCs w:val="20"/>
    </w:rPr>
  </w:style>
  <w:style w:type="paragraph" w:styleId="Header">
    <w:name w:val="header"/>
    <w:basedOn w:val="Normal"/>
    <w:link w:val="HeaderChar"/>
    <w:uiPriority w:val="99"/>
    <w:unhideWhenUsed/>
    <w:rsid w:val="002C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15"/>
  </w:style>
  <w:style w:type="paragraph" w:styleId="Footer">
    <w:name w:val="footer"/>
    <w:basedOn w:val="Normal"/>
    <w:link w:val="FooterChar"/>
    <w:uiPriority w:val="99"/>
    <w:unhideWhenUsed/>
    <w:rsid w:val="002C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15"/>
  </w:style>
  <w:style w:type="paragraph" w:styleId="Revision">
    <w:name w:val="Revision"/>
    <w:hidden/>
    <w:uiPriority w:val="99"/>
    <w:semiHidden/>
    <w:rsid w:val="00A95E3B"/>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1-PART">
    <w:name w:val="1-PART"/>
    <w:basedOn w:val="Normal"/>
    <w:rsid w:val="00593BFC"/>
    <w:pPr>
      <w:spacing w:before="100" w:beforeAutospacing="1" w:after="100" w:afterAutospacing="1" w:line="240" w:lineRule="auto"/>
      <w:jc w:val="center"/>
    </w:pPr>
    <w:rPr>
      <w:rFonts w:ascii="Times New Roman" w:eastAsia="MS Mincho" w:hAnsi="Times New Roman" w:cs="Times New Roman"/>
      <w:b/>
      <w:bCs/>
      <w:caps/>
      <w:sz w:val="36"/>
      <w:szCs w:val="36"/>
    </w:rPr>
  </w:style>
  <w:style w:type="paragraph" w:styleId="BodyText">
    <w:name w:val="Body Text"/>
    <w:basedOn w:val="Normal"/>
    <w:link w:val="BodyTextChar"/>
    <w:rsid w:val="00593BFC"/>
    <w:pPr>
      <w:spacing w:after="0" w:line="240" w:lineRule="auto"/>
      <w:jc w:val="both"/>
    </w:pPr>
    <w:rPr>
      <w:rFonts w:ascii="Times New Roman" w:eastAsia="MS Mincho" w:hAnsi="Times New Roman" w:cs="Times New Roman"/>
      <w:i/>
      <w:iCs/>
      <w:sz w:val="24"/>
      <w:szCs w:val="24"/>
    </w:rPr>
  </w:style>
  <w:style w:type="character" w:customStyle="1" w:styleId="BodyTextChar">
    <w:name w:val="Body Text Char"/>
    <w:basedOn w:val="DefaultParagraphFont"/>
    <w:link w:val="BodyText"/>
    <w:rsid w:val="00593BFC"/>
    <w:rPr>
      <w:rFonts w:ascii="Times New Roman" w:eastAsia="MS Mincho" w:hAnsi="Times New Roman" w:cs="Times New Roman"/>
      <w:i/>
      <w:iCs/>
      <w:sz w:val="24"/>
      <w:szCs w:val="24"/>
    </w:rPr>
  </w:style>
  <w:style w:type="paragraph" w:customStyle="1" w:styleId="CharCharCharChar">
    <w:name w:val="Char Char Char Char"/>
    <w:basedOn w:val="Normal"/>
    <w:rsid w:val="00593BFC"/>
    <w:pPr>
      <w:spacing w:line="240" w:lineRule="exact"/>
    </w:pPr>
    <w:rPr>
      <w:rFonts w:ascii="Verdana" w:eastAsia="SimSun" w:hAnsi="Verdana" w:cs="Verdana"/>
      <w:sz w:val="20"/>
      <w:szCs w:val="20"/>
      <w:lang w:val="en-GB" w:eastAsia="zh-CN"/>
    </w:rPr>
  </w:style>
  <w:style w:type="paragraph" w:styleId="NormalWeb">
    <w:name w:val="Normal (Web)"/>
    <w:basedOn w:val="Normal"/>
    <w:uiPriority w:val="99"/>
    <w:unhideWhenUsed/>
    <w:rsid w:val="00024FD5"/>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94115">
      <w:bodyDiv w:val="1"/>
      <w:marLeft w:val="0"/>
      <w:marRight w:val="0"/>
      <w:marTop w:val="0"/>
      <w:marBottom w:val="0"/>
      <w:divBdr>
        <w:top w:val="none" w:sz="0" w:space="0" w:color="auto"/>
        <w:left w:val="none" w:sz="0" w:space="0" w:color="auto"/>
        <w:bottom w:val="none" w:sz="0" w:space="0" w:color="auto"/>
        <w:right w:val="none" w:sz="0" w:space="0" w:color="auto"/>
      </w:divBdr>
      <w:divsChild>
        <w:div w:id="1601715466">
          <w:marLeft w:val="0"/>
          <w:marRight w:val="0"/>
          <w:marTop w:val="0"/>
          <w:marBottom w:val="0"/>
          <w:divBdr>
            <w:top w:val="none" w:sz="0" w:space="0" w:color="auto"/>
            <w:left w:val="none" w:sz="0" w:space="0" w:color="auto"/>
            <w:bottom w:val="none" w:sz="0" w:space="0" w:color="auto"/>
            <w:right w:val="none" w:sz="0" w:space="0" w:color="auto"/>
          </w:divBdr>
          <w:divsChild>
            <w:div w:id="2003386452">
              <w:marLeft w:val="0"/>
              <w:marRight w:val="0"/>
              <w:marTop w:val="0"/>
              <w:marBottom w:val="0"/>
              <w:divBdr>
                <w:top w:val="none" w:sz="0" w:space="0" w:color="auto"/>
                <w:left w:val="none" w:sz="0" w:space="0" w:color="auto"/>
                <w:bottom w:val="none" w:sz="0" w:space="0" w:color="auto"/>
                <w:right w:val="none" w:sz="0" w:space="0" w:color="auto"/>
              </w:divBdr>
              <w:divsChild>
                <w:div w:id="3395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A13K09SoU66iPQ08t2iLrg5xBg==">CgMxLjA4AHIhMXlWUTh6clFLYnQ1N0FjRmpvNmRNS2hGYXVFQ3JKVnZp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Jesslyn Tanmalano</dc:creator>
  <cp:lastModifiedBy>OLTRE</cp:lastModifiedBy>
  <cp:revision>42</cp:revision>
  <dcterms:created xsi:type="dcterms:W3CDTF">2024-06-12T05:26:00Z</dcterms:created>
  <dcterms:modified xsi:type="dcterms:W3CDTF">2024-06-12T16:15:00Z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0x0101007D6293E945B5604F89C49FA01994223F</vt:lpwstr>
  </property>
  <property fmtid="{D5CDD505-2E9C-101B-9397-08002B2CF9AE}" pid="3" name="MediaServiceImageTags">
    <vt:lpwstr/>
  </property>
</Properties>
</file>