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Database Performance &amp; Indexing Review</w:t>
      </w:r>
    </w:p>
    <w:p/>
    <w:p/>
    <w:p/>
    <w:p/>
    <w:p/>
    <w:p/>
    <w:p>
      <w:pPr>
        <w:jc w:val="center"/>
      </w:pPr>
      <w:r>
        <w:rPr>
          <w:color w:val="444444"/>
          <w:sz w:val="28"/>
        </w:rPr>
        <w:t>B-Tree Correctness Across All 16 Databases</w:t>
      </w:r>
    </w:p>
    <w:p>
      <w:pPr>
        <w:jc w:val="center"/>
      </w:pPr>
      <w:r>
        <w:rPr>
          <w:i/>
          <w:sz w:val="24"/>
        </w:rPr>
        <w:t>Senior BA Documentation Set</w:t>
      </w:r>
    </w:p>
    <w:p>
      <w:pPr>
        <w:jc w:val="center"/>
      </w:pPr>
      <w:r>
        <w:rPr>
          <w:color w:val="666666"/>
          <w:sz w:val="22"/>
        </w:rPr>
        <w:t>2026-07-29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Full Review</w:t>
      </w:r>
    </w:p>
    <w:p>
      <w:pPr>
        <w:pStyle w:val="Heading2"/>
      </w:pPr>
      <w:r>
        <w:t>Database Performance &amp; Indexing Review</w:t>
      </w:r>
    </w:p>
    <w:p>
      <w:pPr>
        <w:ind w:left="454"/>
      </w:pPr>
      <w:r>
        <w:rPr>
          <w:i/>
          <w:color w:val="555555"/>
        </w:rPr>
        <w:t>Senior BA / Data Architecture review, added 2026-07-29. Scope: all 16</w:t>
      </w:r>
    </w:p>
    <w:p>
      <w:pPr>
        <w:ind w:left="454"/>
      </w:pPr>
      <w:r>
        <w:rPr>
          <w:i/>
          <w:color w:val="555555"/>
        </w:rPr>
        <w:t xml:space="preserve">logical SQL Server databases under </w:t>
      </w:r>
      <w:r>
        <w:rPr>
          <w:rFonts w:ascii="Consolas" w:hAnsi="Consolas"/>
          <w:i/>
          <w:color w:val="555555"/>
          <w:sz w:val="19"/>
        </w:rPr>
        <w:t>src/Database/*</w:t>
      </w:r>
      <w:r>
        <w:rPr>
          <w:i/>
          <w:color w:val="555555"/>
        </w:rPr>
        <w:t xml:space="preserve"> (61 migration files,</w:t>
      </w:r>
    </w:p>
    <w:p>
      <w:pPr>
        <w:ind w:left="454"/>
      </w:pPr>
      <w:r>
        <w:rPr>
          <w:i/>
          <w:color w:val="555555"/>
        </w:rPr>
        <w:t xml:space="preserve">354 </w:t>
      </w:r>
      <w:r>
        <w:rPr>
          <w:rFonts w:ascii="Consolas" w:hAnsi="Consolas"/>
          <w:i/>
          <w:color w:val="555555"/>
          <w:sz w:val="19"/>
        </w:rPr>
        <w:t>CREATE INDEX</w:t>
      </w:r>
      <w:r>
        <w:rPr>
          <w:i/>
          <w:color w:val="555555"/>
        </w:rPr>
        <w:t xml:space="preserve"> statements). Every finding below was verified by</w:t>
      </w:r>
    </w:p>
    <w:p>
      <w:pPr>
        <w:ind w:left="454"/>
      </w:pPr>
      <w:r>
        <w:rPr>
          <w:i/>
          <w:color w:val="555555"/>
        </w:rPr>
        <w:t>reading the actual migration SQL (not inferred from EF Core model</w:t>
      </w:r>
    </w:p>
    <w:p>
      <w:pPr>
        <w:ind w:left="454"/>
      </w:pPr>
      <w:r>
        <w:rPr>
          <w:i/>
          <w:color w:val="555555"/>
        </w:rPr>
        <w:t>classes) — see file:line references throughout. This document is</w:t>
      </w:r>
    </w:p>
    <w:p>
      <w:pPr>
        <w:ind w:left="454"/>
      </w:pPr>
      <w:r>
        <w:rPr>
          <w:b/>
          <w:i/>
          <w:color w:val="555555"/>
        </w:rPr>
        <w:t>analysis and recommendations only</w:t>
      </w:r>
      <w:r>
        <w:rPr>
          <w:i/>
          <w:color w:val="555555"/>
        </w:rPr>
        <w:t xml:space="preserve"> — no migration script in this</w:t>
      </w:r>
    </w:p>
    <w:p>
      <w:pPr>
        <w:ind w:left="454"/>
      </w:pPr>
      <w:r>
        <w:rPr>
          <w:i/>
          <w:color w:val="555555"/>
        </w:rPr>
        <w:t>pass changes any index or key. Executing the higher-risk recommendations</w:t>
      </w:r>
    </w:p>
    <w:p>
      <w:pPr>
        <w:ind w:left="454"/>
      </w:pPr>
      <w:r>
        <w:rPr>
          <w:i/>
          <w:color w:val="555555"/>
        </w:rPr>
        <w:t>(§3 in particular) needs its own dedicated, reviewed migration project.</w:t>
      </w:r>
    </w:p>
    <w:p>
      <w:pPr>
        <w:pStyle w:val="Heading3"/>
      </w:pPr>
      <w:r>
        <w:t>1. Purpose &amp; Scope</w:t>
      </w:r>
    </w:p>
    <w:p>
      <w:r>
        <w:t>This review answers three questions for every table in the platform:</w:t>
      </w:r>
    </w:p>
    <w:p>
      <w:pPr>
        <w:pStyle w:val="ListNumber"/>
        <w:ind w:left="340"/>
      </w:pPr>
      <w:r>
        <w:t xml:space="preserve">Is the </w:t>
      </w:r>
      <w:r>
        <w:rPr>
          <w:b/>
        </w:rPr>
        <w:t>clustered index</w:t>
      </w:r>
      <w:r>
        <w:t xml:space="preserve"> (the physical row order — every SQL Server</w:t>
      </w:r>
    </w:p>
    <w:p>
      <w:r>
        <w:t>table is a B-Tree keyed on its clustered index, whether declared</w:t>
      </w:r>
    </w:p>
    <w:p>
      <w:r>
        <w:t>explicitly or not) built on a key that supports sequential inserts, or</w:t>
      </w:r>
    </w:p>
    <w:p>
      <w:r>
        <w:t>does it force random inserts into the middle of the tree?</w:t>
      </w:r>
    </w:p>
    <w:p>
      <w:pPr>
        <w:pStyle w:val="ListNumber"/>
        <w:ind w:left="340"/>
      </w:pPr>
      <w:r>
        <w:t xml:space="preserve">Do the </w:t>
      </w:r>
      <w:r>
        <w:rPr>
          <w:b/>
        </w:rPr>
        <w:t>nonclustered indexes</w:t>
      </w:r>
      <w:r>
        <w:t xml:space="preserve"> lead with columns selective enough to</w:t>
      </w:r>
    </w:p>
    <w:p>
      <w:r>
        <w:t>be useful, and avoid keying on columns that change on almost every</w:t>
      </w:r>
    </w:p>
    <w:p>
      <w:r>
        <w:t>write?</w:t>
      </w:r>
    </w:p>
    <w:p>
      <w:pPr>
        <w:pStyle w:val="ListNumber"/>
        <w:ind w:left="340"/>
      </w:pPr>
      <w:r>
        <w:t xml:space="preserve">Are there </w:t>
      </w:r>
      <w:r>
        <w:rPr>
          <w:b/>
        </w:rPr>
        <w:t>redundant or overlapping indexes</w:t>
      </w:r>
      <w:r>
        <w:t xml:space="preserve"> maintaining near-</w:t>
      </w:r>
    </w:p>
    <w:p>
      <w:r>
        <w:t>identical B-Trees for no additional query benefit?</w:t>
      </w:r>
    </w:p>
    <w:p>
      <w:r>
        <w:t>The goal is not to rewrite the schema — most of the composite-index design</w:t>
      </w:r>
    </w:p>
    <w:p>
      <w:r>
        <w:t xml:space="preserve">in this codebase is actually good practice (leading with </w:t>
      </w:r>
      <w:r>
        <w:rPr>
          <w:rFonts w:ascii="Consolas" w:hAnsi="Consolas"/>
          <w:sz w:val="19"/>
        </w:rPr>
        <w:t>TenantId</w:t>
      </w:r>
      <w:r>
        <w:t xml:space="preserve"> or a</w:t>
      </w:r>
    </w:p>
    <w:p>
      <w:r>
        <w:t>foreign key, trailing with a date for range scans). The goal is to name the</w:t>
      </w:r>
    </w:p>
    <w:p>
      <w:r>
        <w:t>handful of patterns that recur across many services, plus the couple of</w:t>
      </w:r>
    </w:p>
    <w:p>
      <w:r>
        <w:t>concrete, single-instance bugs, so they can be fixed deliberately and</w:t>
      </w:r>
    </w:p>
    <w:p>
      <w:r>
        <w:t>consistently rather than discovered one at a time in production.</w:t>
      </w:r>
    </w:p>
    <w:p>
      <w:pPr>
        <w:pStyle w:val="Heading3"/>
      </w:pPr>
      <w:r>
        <w:t>2. B-Tree Fundamentals (why these specific patterns matter)</w:t>
      </w:r>
    </w:p>
    <w:p>
      <w:r>
        <w:t>A SQL Server index — clustered or nonclustered — is a B+-Tree. Leaf pages</w:t>
      </w:r>
    </w:p>
    <w:p>
      <w:r>
        <w:t>hold the actual data (clustered) or a copy of the key + a row pointer</w:t>
      </w:r>
    </w:p>
    <w:p>
      <w:r>
        <w:t>(nonclustered), sorted by the index key. Two properties of this structure</w:t>
      </w:r>
    </w:p>
    <w:p>
      <w:r>
        <w:t>drive everything in this review:</w:t>
      </w:r>
    </w:p>
    <w:p>
      <w:pPr>
        <w:pStyle w:val="ListBullet"/>
        <w:ind w:left="340"/>
      </w:pPr>
      <w:r>
        <w:rPr>
          <w:b/>
        </w:rPr>
        <w:t>Ordered insert vs. random insert.</w:t>
      </w:r>
      <w:r>
        <w:t xml:space="preserve"> If new key values always sort</w:t>
      </w:r>
    </w:p>
    <w:p>
      <w:r>
        <w:t>higher than everything already in the tree (e.g. an ever-increasing</w:t>
      </w:r>
    </w:p>
    <w:p>
      <w:r>
        <w:rPr>
          <w:rFonts w:ascii="Consolas" w:hAnsi="Consolas"/>
          <w:sz w:val="19"/>
        </w:rPr>
        <w:t>IDENTITY</w:t>
      </w:r>
      <w:r>
        <w:t xml:space="preserve"> or timestamp), every insert lands on the right-hand edge of</w:t>
      </w:r>
    </w:p>
    <w:p>
      <w:r>
        <w:t>the tree — cheap, no reshuffling. If new key values are **uniformly</w:t>
      </w:r>
    </w:p>
    <w:p>
      <w:r>
        <w:t>random** across the whole key space (a random GUID), each insert lands</w:t>
      </w:r>
    </w:p>
    <w:p>
      <w:r>
        <w:t>at a random point in the middle of the tree. When the page at that point</w:t>
      </w:r>
    </w:p>
    <w:p>
      <w:r>
        <w:t xml:space="preserve">is full, SQL Server must </w:t>
      </w:r>
      <w:r>
        <w:rPr>
          <w:b/>
        </w:rPr>
        <w:t>split</w:t>
      </w:r>
      <w:r>
        <w:t xml:space="preserve"> it: allocate a new page, move half</w:t>
      </w:r>
    </w:p>
    <w:p>
      <w:r>
        <w:t>the rows across, and update the parent pointer. Repeated over millions</w:t>
      </w:r>
    </w:p>
    <w:p>
      <w:r>
        <w:t>of inserts, this is the single most common cause of index</w:t>
      </w:r>
    </w:p>
    <w:p>
      <w:r>
        <w:t>fragmentation, wasted disk space (~50%-full pages after a split), and</w:t>
      </w:r>
    </w:p>
    <w:p>
      <w:r>
        <w:t>degraded range-scan performance in SQL Server systems — and it is a</w:t>
      </w:r>
    </w:p>
    <w:p>
      <w:r>
        <w:rPr>
          <w:i/>
        </w:rPr>
        <w:t>design-time</w:t>
      </w:r>
      <w:r>
        <w:t xml:space="preserve"> property of the key, not something you can fix by adding</w:t>
      </w:r>
    </w:p>
    <w:p>
      <w:r>
        <w:t>more indexes later.</w:t>
      </w:r>
    </w:p>
    <w:p>
      <w:pPr>
        <w:pStyle w:val="ListBullet"/>
        <w:ind w:left="340"/>
      </w:pPr>
      <w:r>
        <w:rPr>
          <w:b/>
        </w:rPr>
        <w:t>Leading-column selectivity.</w:t>
      </w:r>
      <w:r>
        <w:t xml:space="preserve"> A composite index </w:t>
      </w:r>
      <w:r>
        <w:rPr>
          <w:rFonts w:ascii="Consolas" w:hAnsi="Consolas"/>
          <w:sz w:val="19"/>
        </w:rPr>
        <w:t>(A, B, C)</w:t>
      </w:r>
      <w:r>
        <w:t xml:space="preserve"> is only</w:t>
      </w:r>
    </w:p>
    <w:p>
      <w:r>
        <w:t xml:space="preserve">useful for filtering on </w:t>
      </w:r>
      <w:r>
        <w:rPr>
          <w:rFonts w:ascii="Consolas" w:hAnsi="Consolas"/>
          <w:sz w:val="19"/>
        </w:rPr>
        <w:t>A</w:t>
      </w:r>
      <w:r>
        <w:t xml:space="preserve"> alone, </w:t>
      </w:r>
      <w:r>
        <w:rPr>
          <w:rFonts w:ascii="Consolas" w:hAnsi="Consolas"/>
          <w:sz w:val="19"/>
        </w:rPr>
        <w:t>A+B</w:t>
      </w:r>
      <w:r>
        <w:t xml:space="preserve">, or </w:t>
      </w:r>
      <w:r>
        <w:rPr>
          <w:rFonts w:ascii="Consolas" w:hAnsi="Consolas"/>
          <w:sz w:val="19"/>
        </w:rPr>
        <w:t>A+B+C</w:t>
      </w:r>
      <w:r>
        <w:t xml:space="preserve"> — never </w:t>
      </w:r>
      <w:r>
        <w:rPr>
          <w:rFonts w:ascii="Consolas" w:hAnsi="Consolas"/>
          <w:sz w:val="19"/>
        </w:rPr>
        <w:t>B</w:t>
      </w:r>
      <w:r>
        <w:t xml:space="preserve"> alone or</w:t>
      </w:r>
    </w:p>
    <w:p>
      <w:r>
        <w:rPr>
          <w:rFonts w:ascii="Consolas" w:hAnsi="Consolas"/>
          <w:sz w:val="19"/>
        </w:rPr>
        <w:t>C</w:t>
      </w:r>
      <w:r>
        <w:t xml:space="preserve"> alone (SQL Server can't binary-search a tree sorted by </w:t>
      </w:r>
      <w:r>
        <w:rPr>
          <w:rFonts w:ascii="Consolas" w:hAnsi="Consolas"/>
          <w:sz w:val="19"/>
        </w:rPr>
        <w:t>A</w:t>
      </w:r>
      <w:r>
        <w:t xml:space="preserve"> using a</w:t>
      </w:r>
    </w:p>
    <w:p>
      <w:r>
        <w:t xml:space="preserve">predicate on </w:t>
      </w:r>
      <w:r>
        <w:rPr>
          <w:rFonts w:ascii="Consolas" w:hAnsi="Consolas"/>
          <w:sz w:val="19"/>
        </w:rPr>
        <w:t>B</w:t>
      </w:r>
      <w:r>
        <w:t xml:space="preserve">). If </w:t>
      </w:r>
      <w:r>
        <w:rPr>
          <w:rFonts w:ascii="Consolas" w:hAnsi="Consolas"/>
          <w:sz w:val="19"/>
        </w:rPr>
        <w:t>A</w:t>
      </w:r>
      <w:r>
        <w:t xml:space="preserve"> has very few distinct values (a boolean, a</w:t>
      </w:r>
    </w:p>
    <w:p>
      <w:r>
        <w:t>3-5-value status enum), the tree gives almost no help narrowing down</w:t>
      </w:r>
    </w:p>
    <w:p>
      <w:r>
        <w:t xml:space="preserve">rows before </w:t>
      </w:r>
      <w:r>
        <w:rPr>
          <w:rFonts w:ascii="Consolas" w:hAnsi="Consolas"/>
          <w:sz w:val="19"/>
        </w:rPr>
        <w:t>B</w:t>
      </w:r>
      <w:r>
        <w:t>/</w:t>
      </w:r>
      <w:r>
        <w:rPr>
          <w:rFonts w:ascii="Consolas" w:hAnsi="Consolas"/>
          <w:sz w:val="19"/>
        </w:rPr>
        <w:t>C</w:t>
      </w:r>
      <w:r>
        <w:t xml:space="preserve"> take over — the index still has to be </w:t>
      </w:r>
      <w:r>
        <w:rPr>
          <w:i/>
        </w:rPr>
        <w:t>maintained</w:t>
      </w:r>
    </w:p>
    <w:p>
      <w:r>
        <w:t>(every write updates it) but returns little of its potential benefit.</w:t>
      </w:r>
    </w:p>
    <w:p>
      <w:r>
        <w:t xml:space="preserve">Worse: if that low-cardinality column is also the one that </w:t>
      </w:r>
      <w:r>
        <w:rPr>
          <w:b/>
        </w:rPr>
        <w:t>changes</w:t>
      </w:r>
    </w:p>
    <w:p>
      <w:r>
        <w:t>on every business-lifecycle transition (</w:t>
      </w:r>
      <w:r>
        <w:rPr>
          <w:rFonts w:ascii="Consolas" w:hAnsi="Consolas"/>
          <w:sz w:val="19"/>
        </w:rPr>
        <w:t>Pending → Approved → Paid</w:t>
      </w:r>
      <w:r>
        <w:t>),</w:t>
      </w:r>
    </w:p>
    <w:p>
      <w:r>
        <w:t>every transition is a delete-then-reinsert of that row's key in every</w:t>
      </w:r>
    </w:p>
    <w:p>
      <w:r>
        <w:t xml:space="preserve">index that includes it — i.e., page-split risk </w:t>
      </w:r>
      <w:r>
        <w:rPr>
          <w:i/>
        </w:rPr>
        <w:t>by design</w:t>
      </w:r>
      <w:r>
        <w:t>, not just at</w:t>
      </w:r>
    </w:p>
    <w:p>
      <w:r>
        <w:t>insert time.</w:t>
      </w:r>
    </w:p>
    <w:p>
      <w:r>
        <w:t>Both patterns above are exactly what this review found, systemically.</w:t>
      </w:r>
    </w:p>
    <w:p>
      <w:pPr>
        <w:pStyle w:val="Heading3"/>
      </w:pPr>
      <w:r>
        <w:t>3. Finding #1 (System-Wide) — 100% of Tables Use a Random-GUID Clustered Key</w:t>
      </w:r>
    </w:p>
    <w:p>
      <w:r>
        <w:rPr>
          <w:b/>
        </w:rPr>
        <w:t>Verified</w:t>
      </w:r>
      <w:r>
        <w:t xml:space="preserve">: zero occurrences of the </w:t>
      </w:r>
      <w:r>
        <w:rPr>
          <w:rFonts w:ascii="Consolas" w:hAnsi="Consolas"/>
          <w:sz w:val="19"/>
        </w:rPr>
        <w:t>CLUSTERED</w:t>
      </w:r>
      <w:r>
        <w:t xml:space="preserve">, </w:t>
      </w:r>
      <w:r>
        <w:rPr>
          <w:rFonts w:ascii="Consolas" w:hAnsi="Consolas"/>
          <w:sz w:val="19"/>
        </w:rPr>
        <w:t>NONCLUSTERED</w:t>
      </w:r>
      <w:r>
        <w:t>, or</w:t>
      </w:r>
    </w:p>
    <w:p>
      <w:r>
        <w:rPr>
          <w:rFonts w:ascii="Consolas" w:hAnsi="Consolas"/>
          <w:sz w:val="19"/>
        </w:rPr>
        <w:t>NEWSEQUENTIALID()</w:t>
      </w:r>
      <w:r>
        <w:t xml:space="preserve"> keywords anywhere in </w:t>
      </w:r>
      <w:r>
        <w:rPr>
          <w:rFonts w:ascii="Consolas" w:hAnsi="Consolas"/>
          <w:sz w:val="19"/>
        </w:rPr>
        <w:t>src/Database/**/*.sql</w:t>
      </w:r>
      <w:r>
        <w:t>. Every</w:t>
      </w:r>
    </w:p>
    <w:p>
      <w:r>
        <w:rPr>
          <w:rFonts w:ascii="Consolas" w:hAnsi="Consolas"/>
          <w:sz w:val="19"/>
        </w:rPr>
        <w:t>PRIMARY KEY</w:t>
      </w:r>
      <w:r>
        <w:t xml:space="preserve"> in every table, in all 16 databases, is a </w:t>
      </w:r>
      <w:r>
        <w:rPr>
          <w:rFonts w:ascii="Consolas" w:hAnsi="Consolas"/>
          <w:sz w:val="19"/>
        </w:rPr>
        <w:t>UNIQUEIDENTIFIER</w:t>
      </w:r>
      <w:r>
        <w:t>.</w:t>
      </w:r>
    </w:p>
    <w:p>
      <w:r>
        <w:t xml:space="preserve">Of the ~250 </w:t>
      </w:r>
      <w:r>
        <w:rPr>
          <w:rFonts w:ascii="Consolas" w:hAnsi="Consolas"/>
          <w:sz w:val="19"/>
        </w:rPr>
        <w:t>PRIMARY KEY</w:t>
      </w:r>
      <w:r>
        <w:t xml:space="preserve"> declarations found, 171 carry an explicit</w:t>
      </w:r>
    </w:p>
    <w:p>
      <w:r>
        <w:rPr>
          <w:rFonts w:ascii="Consolas" w:hAnsi="Consolas"/>
          <w:sz w:val="19"/>
        </w:rPr>
        <w:t>DEFAULT NEWID()</w:t>
      </w:r>
      <w:r>
        <w:t>; the remainder rely on the application layer supplying</w:t>
      </w:r>
    </w:p>
    <w:p>
      <w:r>
        <w:t>the key (</w:t>
      </w:r>
      <w:r>
        <w:rPr>
          <w:rFonts w:ascii="Consolas" w:hAnsi="Consolas"/>
          <w:sz w:val="19"/>
        </w:rPr>
        <w:t>Guid.NewGuid()</w:t>
      </w:r>
      <w:r>
        <w:t xml:space="preserve"> in EF Core), which is equally random. Because no</w:t>
      </w:r>
    </w:p>
    <w:p>
      <w:r>
        <w:t xml:space="preserve">migration ever declares an index </w:t>
      </w:r>
      <w:r>
        <w:rPr>
          <w:rFonts w:ascii="Consolas" w:hAnsi="Consolas"/>
          <w:sz w:val="19"/>
        </w:rPr>
        <w:t>NONCLUSTERED</w:t>
      </w:r>
      <w:r>
        <w:t>, SQL Server's default rule</w:t>
      </w:r>
    </w:p>
    <w:p>
      <w:r>
        <w:t xml:space="preserve">applies everywhere: **the </w:t>
      </w:r>
      <w:r>
        <w:rPr>
          <w:rFonts w:ascii="Consolas" w:hAnsi="Consolas"/>
          <w:sz w:val="19"/>
        </w:rPr>
        <w:t>PRIMARY KEY</w:t>
      </w:r>
      <w:r>
        <w:t xml:space="preserve"> constraint is the clustered</w:t>
      </w:r>
    </w:p>
    <w:p>
      <w:r>
        <w:t>index**, so every table's row-storage order is keyed on a uniformly random</w:t>
      </w:r>
    </w:p>
    <w:p>
      <w:r>
        <w:t>16-byte value.</w:t>
      </w:r>
    </w:p>
    <w:p>
      <w:r>
        <w:rPr>
          <w:b/>
        </w:rPr>
        <w:t>Why this matters more here than in a typical CRUD app</w:t>
      </w:r>
      <w:r>
        <w:t>: this platform</w:t>
      </w:r>
    </w:p>
    <w:p>
      <w:r>
        <w:t>is an event-driven ERP with genuinely high-insert-rate tables —</w:t>
      </w:r>
    </w:p>
    <w:p>
      <w:r>
        <w:rPr>
          <w:rFonts w:ascii="Consolas" w:hAnsi="Consolas"/>
          <w:sz w:val="19"/>
        </w:rPr>
        <w:t>StockMovements</w:t>
      </w:r>
      <w:r>
        <w:t xml:space="preserve">, </w:t>
      </w:r>
      <w:r>
        <w:rPr>
          <w:rFonts w:ascii="Consolas" w:hAnsi="Consolas"/>
          <w:sz w:val="19"/>
        </w:rPr>
        <w:t>OutboxMessages</w:t>
      </w:r>
      <w:r>
        <w:t xml:space="preserve"> (11 separate per-service tables),</w:t>
      </w:r>
    </w:p>
    <w:p>
      <w:r>
        <w:rPr>
          <w:rFonts w:ascii="Consolas" w:hAnsi="Consolas"/>
          <w:sz w:val="19"/>
        </w:rPr>
        <w:t>SecurityAuditLogs</w:t>
      </w:r>
      <w:r>
        <w:t xml:space="preserve">, </w:t>
      </w:r>
      <w:r>
        <w:rPr>
          <w:rFonts w:ascii="Consolas" w:hAnsi="Consolas"/>
          <w:sz w:val="19"/>
        </w:rPr>
        <w:t>LoginAttempts</w:t>
      </w:r>
      <w:r>
        <w:t xml:space="preserve">, </w:t>
      </w:r>
      <w:r>
        <w:rPr>
          <w:rFonts w:ascii="Consolas" w:hAnsi="Consolas"/>
          <w:sz w:val="19"/>
        </w:rPr>
        <w:t>JournalEntryLines</w:t>
      </w:r>
      <w:r>
        <w:t>,</w:t>
      </w:r>
    </w:p>
    <w:p>
      <w:r>
        <w:rPr>
          <w:rFonts w:ascii="Consolas" w:hAnsi="Consolas"/>
          <w:sz w:val="19"/>
        </w:rPr>
        <w:t>Notifications</w:t>
      </w:r>
      <w:r>
        <w:t xml:space="preserve">, POS </w:t>
      </w:r>
      <w:r>
        <w:rPr>
          <w:rFonts w:ascii="Consolas" w:hAnsi="Consolas"/>
          <w:sz w:val="19"/>
        </w:rPr>
        <w:t>Transactions</w:t>
      </w:r>
      <w:r>
        <w:t>/</w:t>
      </w:r>
      <w:r>
        <w:rPr>
          <w:rFonts w:ascii="Consolas" w:hAnsi="Consolas"/>
          <w:sz w:val="19"/>
        </w:rPr>
        <w:t>TransactionItems</w:t>
      </w:r>
      <w:r>
        <w:t>,</w:t>
      </w:r>
    </w:p>
    <w:p>
      <w:r>
        <w:rPr>
          <w:rFonts w:ascii="Consolas" w:hAnsi="Consolas"/>
          <w:sz w:val="19"/>
        </w:rPr>
        <w:t>CommissionRecords</w:t>
      </w:r>
      <w:r>
        <w:t xml:space="preserve">, </w:t>
      </w:r>
      <w:r>
        <w:rPr>
          <w:rFonts w:ascii="Consolas" w:hAnsi="Consolas"/>
          <w:sz w:val="19"/>
        </w:rPr>
        <w:t>InventoryLots</w:t>
      </w:r>
      <w:r>
        <w:t xml:space="preserve">, every </w:t>
      </w:r>
      <w:r>
        <w:rPr>
          <w:rFonts w:ascii="Consolas" w:hAnsi="Consolas"/>
          <w:sz w:val="19"/>
        </w:rPr>
        <w:t>Fact*</w:t>
      </w:r>
      <w:r>
        <w:t xml:space="preserve"> table in Reporting.</w:t>
      </w:r>
    </w:p>
    <w:p>
      <w:r>
        <w:t>Each of these accumulates rows continuously in production; each insert is</w:t>
      </w:r>
    </w:p>
    <w:p>
      <w:r>
        <w:t>a random-position write into its own clustered B-Tree.</w:t>
      </w:r>
    </w:p>
    <w:p>
      <w:r>
        <w:rPr>
          <w:b/>
        </w:rPr>
        <w:t>Remediation options</w:t>
      </w:r>
      <w:r>
        <w:t xml:space="preserve"> (ranked by effort, </w:t>
      </w:r>
      <w:r>
        <w:rPr>
          <w:b/>
        </w:rPr>
        <w:t>none executed in this pass</w:t>
      </w:r>
      <w:r>
        <w:t>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Option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Effort</w:t>
            </w:r>
          </w:p>
        </w:tc>
        <w:tc>
          <w:tcPr>
            <w:tcW w:type="dxa" w:w="32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Trade-off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NEWSEQUENTIALID()</w:t>
            </w:r>
            <w:r>
              <w:rPr>
                <w:sz w:val="19"/>
              </w:rPr>
              <w:t xml:space="preserve"> as the column default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Low — one line per table, no app changes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SQL-Server-specific; sequential only within a single server's uptime (resets after reboot, though still far better than pure random); GUID is still 16 bytes, still 2-4x wider than a </w:t>
            </w:r>
            <w:r>
              <w:rPr>
                <w:rFonts w:ascii="Consolas" w:hAnsi="Consolas"/>
                <w:sz w:val="19"/>
              </w:rPr>
              <w:t>BIGINT</w:t>
            </w:r>
            <w:r>
              <w:rPr>
                <w:sz w:val="19"/>
              </w:rPr>
              <w:t xml:space="preserve"> key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Application-side sequential GUID generation (e.g. a "COMB"/UUIDv7-style generator combining a timestamp prefix with random suffix)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Low-Medium — one shared helper in </w:t>
            </w:r>
            <w:r>
              <w:rPr>
                <w:rFonts w:ascii="Consolas" w:hAnsi="Consolas"/>
                <w:sz w:val="19"/>
              </w:rPr>
              <w:t>ERP.Shared.Core</w:t>
            </w:r>
            <w:r>
              <w:rPr>
                <w:sz w:val="19"/>
              </w:rPr>
              <w:t xml:space="preserve">, swap </w:t>
            </w:r>
            <w:r>
              <w:rPr>
                <w:rFonts w:ascii="Consolas" w:hAnsi="Consolas"/>
                <w:sz w:val="19"/>
              </w:rPr>
              <w:t>Guid.NewGuid()</w:t>
            </w:r>
            <w:r>
              <w:rPr>
                <w:sz w:val="19"/>
              </w:rPr>
              <w:t xml:space="preserve"> call sites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Portable across DB engines; still a GUID everywhere else in code (DTOs, API contracts) unaffected</w:t>
            </w:r>
          </w:p>
        </w:tc>
      </w:tr>
      <w:tr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 a </w:t>
            </w:r>
            <w:r>
              <w:rPr>
                <w:rFonts w:ascii="Consolas" w:hAnsi="Consolas"/>
                <w:sz w:val="19"/>
              </w:rPr>
              <w:t>BIGINT IDENTITY</w:t>
            </w:r>
            <w:r>
              <w:rPr>
                <w:sz w:val="19"/>
              </w:rPr>
              <w:t xml:space="preserve"> surrogate key as the clustered index; keep the existing </w:t>
            </w:r>
            <w:r>
              <w:rPr>
                <w:rFonts w:ascii="Consolas" w:hAnsi="Consolas"/>
                <w:sz w:val="19"/>
              </w:rPr>
              <w:t>UNIQUEIDENTIFIER</w:t>
            </w:r>
            <w:r>
              <w:rPr>
                <w:sz w:val="19"/>
              </w:rPr>
              <w:t xml:space="preserve"> as a </w:t>
            </w:r>
            <w:r>
              <w:rPr>
                <w:rFonts w:ascii="Consolas" w:hAnsi="Consolas"/>
                <w:sz w:val="19"/>
              </w:rPr>
              <w:t>UNIQUE NONCLUSTERED</w:t>
            </w:r>
            <w:r>
              <w:rPr>
                <w:sz w:val="19"/>
              </w:rPr>
              <w:t xml:space="preserve"> "alternate key" for all existing FK/API usage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Medium-High — schema change per table, FK updates if any FK references the GUID directly (need to confirm none do; this repo's cross-service references are by GUID value only, never a DB-level FK, so cross-service impact should be zero, but same-database FKs need review table-by-table)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</w:r>
            <w:r>
              <w:rPr>
                <w:sz w:val="19"/>
              </w:rPr>
              <w:t>Best long-term I/O density (8 bytes vs. 16) and perfectly sequential inserts; largest migration effort, needs its own project with a full regression pass</w:t>
            </w:r>
          </w:p>
        </w:tc>
      </w:tr>
    </w:tbl>
    <w:p/>
    <w:p>
      <w:r>
        <w:rPr>
          <w:b/>
        </w:rPr>
        <w:t>Recommendation</w:t>
      </w:r>
      <w:r>
        <w:t>: treat this as a dedicated project, not a drive-by fix.</w:t>
      </w:r>
    </w:p>
    <w:p>
      <w:r>
        <w:t>Start with the highest-insert-rate tables identified above (StockMovements,</w:t>
      </w:r>
    </w:p>
    <w:p>
      <w:r>
        <w:t xml:space="preserve">OutboxMessages, audit/log tables) using the </w:t>
      </w:r>
      <w:r>
        <w:rPr>
          <w:rFonts w:ascii="Consolas" w:hAnsi="Consolas"/>
          <w:sz w:val="19"/>
        </w:rPr>
        <w:t>NEWSEQUENTIALID()</w:t>
      </w:r>
      <w:r>
        <w:t xml:space="preserve"> option —</w:t>
      </w:r>
    </w:p>
    <w:p>
      <w:r>
        <w:t>it's a single-column-default change, backward compatible with all existing</w:t>
      </w:r>
    </w:p>
    <w:p>
      <w:r>
        <w:t>application code (still a GUID), and closes most of the fragmentation risk</w:t>
      </w:r>
    </w:p>
    <w:p>
      <w:r>
        <w:t xml:space="preserve">with the least effort. Reserve the </w:t>
      </w:r>
      <w:r>
        <w:rPr>
          <w:rFonts w:ascii="Consolas" w:hAnsi="Consolas"/>
          <w:sz w:val="19"/>
        </w:rPr>
        <w:t>BIGINT IDENTITY</w:t>
      </w:r>
      <w:r>
        <w:t xml:space="preserve"> surrogate-key</w:t>
      </w:r>
    </w:p>
    <w:p>
      <w:r>
        <w:t>approach for a later phase if I/O density becomes a measured problem.</w:t>
      </w:r>
    </w:p>
    <w:p>
      <w:pPr>
        <w:pStyle w:val="Heading3"/>
      </w:pPr>
      <w:r>
        <w:t>4. Finding #2 (Recurring Pattern) — Lifecycle/Status Columns Keyed in Nonclustered Indexes</w:t>
      </w:r>
    </w:p>
    <w:p>
      <w:r>
        <w:t>A status/state-machine column is, by definition, a column that changes</w:t>
      </w:r>
    </w:p>
    <w:p>
      <w:r>
        <w:t>during normal business operation. Indexing it directly (especially as a</w:t>
      </w:r>
    </w:p>
    <w:p>
      <w:r>
        <w:t>leading or co-leading key column) means every legitimate state transition</w:t>
      </w:r>
    </w:p>
    <w:p>
      <w:r>
        <w:t>is an index-maintenance write, not just a data write. Confirmed instances: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Table.Index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Columns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 it recurs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IX_Invoices_CustomerId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IX_Bills_SupplierId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..., 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Status: Draft→Approved→Paid/Overdue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IX_Payments_Status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 alone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Status: Pending→Authorized→Captured→Failed/Refunded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IX_PO_Status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IX_PurchaseRequests_Status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Status, OrderDate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 alone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Draft→Submitted→Approved→Received/Rejected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IX_SalesOrders_Status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IX_SagaStates_Status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IX_OrderFulfillmentSagas_Status_LastUpdatedAt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Status, OrderDate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Status, LastUpdatedAt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Order lifecycle </w:t>
            </w:r>
            <w:r>
              <w:rPr>
                <w:i/>
                <w:sz w:val="19"/>
              </w:rPr>
              <w:t>and</w:t>
            </w:r>
            <w:r>
              <w:rPr>
                <w:sz w:val="19"/>
              </w:rPr>
              <w:t xml:space="preserve"> saga steps — sagas mutate </w:t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 on nearly every step of a distributed transaction, the highest-frequency case in this list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Shipping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IX_Shipments_Status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 alone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Created→InTransit→Delivered/Returned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IX_StockAdjustments_Status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</w:t>
            </w:r>
            <w:r>
              <w:rPr>
                <w:sz w:val="19"/>
              </w:rPr>
              <w:t xml:space="preserve"> alone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Pending→Approved/Rejected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IX_Notifications_Status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Status, CreatedAt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Queued→Sending→Sent/Failed/Bounced, likely the highest-volume table in this list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IX_Promotions_Status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Status, StartDate, EndDate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Draft→Active→Paused/Expired/Cancelled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HRM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IX_Leave_Pending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Status, CreatedAt DESC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WHERE `Status = 0`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 </w:t>
            </w:r>
            <w:r>
              <w:rPr>
                <w:i/>
                <w:sz w:val="19"/>
              </w:rPr>
              <w:t>filtered</w:t>
            </w:r>
            <w:r>
              <w:rPr>
                <w:sz w:val="19"/>
              </w:rPr>
              <w:t xml:space="preserve"> index that still keys on the column it filters on — dead weight, see below</w:t>
            </w:r>
          </w:p>
        </w:tc>
      </w:tr>
    </w:tbl>
    <w:p/>
    <w:p>
      <w:r>
        <w:rPr>
          <w:b/>
        </w:rPr>
        <w:t>The one correct example already in the codebase — generalize from it</w:t>
      </w:r>
      <w:r>
        <w:t>:</w:t>
      </w:r>
    </w:p>
    <w:p>
      <w:r>
        <w:rPr>
          <w:rFonts w:ascii="Consolas" w:hAnsi="Consolas"/>
          <w:sz w:val="19"/>
        </w:rPr>
        <w:t>Warehouse.Reservations.IX_Reservations_Expiring</w:t>
      </w:r>
      <w:r>
        <w:t xml:space="preserve"> is `(HoldUntil) WHERE</w:t>
      </w:r>
    </w:p>
    <w:p>
      <w:r>
        <w:t xml:space="preserve">Status = 0` — a </w:t>
      </w:r>
      <w:r>
        <w:rPr>
          <w:b/>
        </w:rPr>
        <w:t>filtered</w:t>
      </w:r>
      <w:r>
        <w:t xml:space="preserve"> index whose key list does </w:t>
      </w:r>
      <w:r>
        <w:rPr>
          <w:i/>
        </w:rPr>
        <w:t>not</w:t>
      </w:r>
      <w:r>
        <w:t xml:space="preserve"> repeat the</w:t>
      </w:r>
    </w:p>
    <w:p>
      <w:r>
        <w:t xml:space="preserve">filter column. Every row indexed already satisfies </w:t>
      </w:r>
      <w:r>
        <w:rPr>
          <w:rFonts w:ascii="Consolas" w:hAnsi="Consolas"/>
          <w:sz w:val="19"/>
        </w:rPr>
        <w:t>Status = 0</w:t>
      </w:r>
      <w:r>
        <w:t xml:space="preserve"> by</w:t>
      </w:r>
    </w:p>
    <w:p>
      <w:r>
        <w:t>construction, so there's no reason to spend key-storage/maintenance on</w:t>
      </w:r>
    </w:p>
    <w:p>
      <w:r>
        <w:rPr>
          <w:rFonts w:ascii="Consolas" w:hAnsi="Consolas"/>
          <w:sz w:val="19"/>
        </w:rPr>
        <w:t>Status</w:t>
      </w:r>
      <w:r>
        <w:t xml:space="preserve"> itself; only </w:t>
      </w:r>
      <w:r>
        <w:rPr>
          <w:rFonts w:ascii="Consolas" w:hAnsi="Consolas"/>
          <w:sz w:val="19"/>
        </w:rPr>
        <w:t>HoldUntil</w:t>
      </w:r>
      <w:r>
        <w:t xml:space="preserve"> (the actual thing being range-scanned:</w:t>
      </w:r>
    </w:p>
    <w:p>
      <w:r>
        <w:t>"which reservations are expiring soon") needs to be a key column.</w:t>
      </w:r>
    </w:p>
    <w:p>
      <w:r>
        <w:rPr>
          <w:b/>
        </w:rPr>
        <w:t>Remediation template</w:t>
      </w:r>
      <w:r>
        <w:t>: for each hot query that's currently served by a</w:t>
      </w:r>
    </w:p>
    <w:p>
      <w:r>
        <w:rPr>
          <w:rFonts w:ascii="Consolas" w:hAnsi="Consolas"/>
          <w:sz w:val="19"/>
        </w:rPr>
        <w:t>(Status, ...)</w:t>
      </w:r>
      <w:r>
        <w:t xml:space="preserve"> index, ask "does this query only ever run against ONE</w:t>
      </w:r>
    </w:p>
    <w:p>
      <w:r>
        <w:t xml:space="preserve">value (or a small fixed set) of </w:t>
      </w:r>
      <w:r>
        <w:rPr>
          <w:rFonts w:ascii="Consolas" w:hAnsi="Consolas"/>
          <w:sz w:val="19"/>
        </w:rPr>
        <w:t>Status</w:t>
      </w:r>
      <w:r>
        <w:t>?" If yes (as with "find pending</w:t>
      </w:r>
    </w:p>
    <w:p>
      <w:r>
        <w:t>approvals," "find undelivered notifications," "find active promotions</w:t>
      </w:r>
    </w:p>
    <w:p>
      <w:r>
        <w:t xml:space="preserve">right now"), convert to a filtered index on the </w:t>
      </w:r>
      <w:r>
        <w:rPr>
          <w:i/>
        </w:rPr>
        <w:t>other</w:t>
      </w:r>
      <w:r>
        <w:t xml:space="preserve"> columns only,</w:t>
      </w:r>
    </w:p>
    <w:p>
      <w:r>
        <w:rPr>
          <w:rFonts w:ascii="Consolas" w:hAnsi="Consolas"/>
          <w:sz w:val="19"/>
        </w:rPr>
        <w:t>WHERE Status = &lt;that value&gt;</w:t>
      </w:r>
      <w:r>
        <w:t>. If the query genuinely needs to range over</w:t>
      </w:r>
    </w:p>
    <w:p>
      <w:r>
        <w:t>multiple status values with roughly even row distribution, keeping</w:t>
      </w:r>
    </w:p>
    <w:p>
      <w:r>
        <w:rPr>
          <w:rFonts w:ascii="Consolas" w:hAnsi="Consolas"/>
          <w:sz w:val="19"/>
        </w:rPr>
        <w:t>Status</w:t>
      </w:r>
      <w:r>
        <w:t xml:space="preserve"> as a trailing (not leading) key column, after a genuinely</w:t>
      </w:r>
    </w:p>
    <w:p>
      <w:r>
        <w:t xml:space="preserve">selective column like </w:t>
      </w:r>
      <w:r>
        <w:rPr>
          <w:rFonts w:ascii="Consolas" w:hAnsi="Consolas"/>
          <w:sz w:val="19"/>
        </w:rPr>
        <w:t>TenantId</w:t>
      </w:r>
      <w:r>
        <w:t xml:space="preserve"> or a foreign key, is the better shape —</w:t>
      </w:r>
    </w:p>
    <w:p>
      <w:r>
        <w:t>most of the composite indexes above already do this correctly (</w:t>
      </w:r>
      <w:r>
        <w:rPr>
          <w:rFonts w:ascii="Consolas" w:hAnsi="Consolas"/>
          <w:sz w:val="19"/>
        </w:rPr>
        <w:t>TenantId</w:t>
      </w:r>
    </w:p>
    <w:p>
      <w:r>
        <w:t xml:space="preserve">or FK leads, </w:t>
      </w:r>
      <w:r>
        <w:rPr>
          <w:rFonts w:ascii="Consolas" w:hAnsi="Consolas"/>
          <w:sz w:val="19"/>
        </w:rPr>
        <w:t>Status</w:t>
      </w:r>
      <w:r>
        <w:t xml:space="preserve"> trails); the ones flagged as </w:t>
      </w:r>
      <w:r>
        <w:rPr>
          <w:b/>
        </w:rPr>
        <w:t>alone</w:t>
      </w:r>
      <w:r>
        <w:t xml:space="preserve"> or as the</w:t>
      </w:r>
    </w:p>
    <w:p>
      <w:r>
        <w:rPr>
          <w:b/>
        </w:rPr>
        <w:t>sole/leading</w:t>
      </w:r>
      <w:r>
        <w:t xml:space="preserve"> key are the ones that need attention.</w:t>
      </w:r>
    </w:p>
    <w:p>
      <w:r>
        <w:rPr>
          <w:b/>
        </w:rPr>
        <w:t>`IX_Leave_Pending`'s specific defect</w:t>
      </w:r>
      <w:r>
        <w:t>: the filter (</w:t>
      </w:r>
      <w:r>
        <w:rPr>
          <w:rFonts w:ascii="Consolas" w:hAnsi="Consolas"/>
          <w:sz w:val="19"/>
        </w:rPr>
        <w:t>WHERE Status = 0</w:t>
      </w:r>
      <w:r>
        <w:t>)</w:t>
      </w:r>
    </w:p>
    <w:p>
      <w:r>
        <w:t xml:space="preserve">already makes every indexed row have </w:t>
      </w:r>
      <w:r>
        <w:rPr>
          <w:rFonts w:ascii="Consolas" w:hAnsi="Consolas"/>
          <w:sz w:val="19"/>
        </w:rPr>
        <w:t>Status = 0</w:t>
      </w:r>
      <w:r>
        <w:t xml:space="preserve">, so storing </w:t>
      </w:r>
      <w:r>
        <w:rPr>
          <w:rFonts w:ascii="Consolas" w:hAnsi="Consolas"/>
          <w:sz w:val="19"/>
        </w:rPr>
        <w:t>Status</w:t>
      </w:r>
      <w:r>
        <w:t xml:space="preserve"> as</w:t>
      </w:r>
    </w:p>
    <w:p>
      <w:r>
        <w:t>a key column adds zero selectivity — it should be `(CreatedAt DESC) WHERE</w:t>
      </w:r>
    </w:p>
    <w:p>
      <w:r>
        <w:t>Status = 0</w:t>
      </w:r>
      <w:r>
        <w:rPr>
          <w:rFonts w:ascii="Consolas" w:hAnsi="Consolas"/>
          <w:sz w:val="19"/>
        </w:rPr>
        <w:t xml:space="preserve">, matching </w:t>
      </w:r>
      <w:r>
        <w:t>IX_Reservations_Expiring`'s shape exactly.</w:t>
      </w:r>
    </w:p>
    <w:p>
      <w:pPr>
        <w:pStyle w:val="Heading3"/>
      </w:pPr>
      <w:r>
        <w:t>5. Finding #3 — Confirmed Migration Bug: Reporting's Masked Index</w:t>
      </w:r>
    </w:p>
    <w:p>
      <w:r>
        <w:rPr>
          <w:rFonts w:ascii="Consolas" w:hAnsi="Consolas"/>
          <w:sz w:val="19"/>
        </w:rPr>
        <w:t>src/Database/Reporting/002_AddMissingEntityColumns.sql</w:t>
      </w:r>
      <w:r>
        <w:t xml:space="preserve"> adds a </w:t>
      </w:r>
      <w:r>
        <w:rPr>
          <w:rFonts w:ascii="Consolas" w:hAnsi="Consolas"/>
          <w:sz w:val="19"/>
        </w:rPr>
        <w:t>DateKey</w:t>
      </w:r>
    </w:p>
    <w:p>
      <w:r>
        <w:t xml:space="preserve">column to both </w:t>
      </w:r>
      <w:r>
        <w:rPr>
          <w:rFonts w:ascii="Consolas" w:hAnsi="Consolas"/>
          <w:sz w:val="19"/>
        </w:rPr>
        <w:t>FactSalesOrders</w:t>
      </w:r>
      <w:r>
        <w:t xml:space="preserve"> and </w:t>
      </w:r>
      <w:r>
        <w:rPr>
          <w:rFonts w:ascii="Consolas" w:hAnsi="Consolas"/>
          <w:sz w:val="19"/>
        </w:rPr>
        <w:t>FactPayments</w:t>
      </w:r>
      <w:r>
        <w:t>, then attempts: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CREATE INDEX IX_FactSalesOrders_DateKey ON FactSalesOrders(DateKey);</w:t>
        <w:br/>
        <w:t>CREATE INDEX IX_FactPayments_DateKey ON FactPayments(DateKey);</w:t>
      </w:r>
    </w:p>
    <w:p>
      <w:r>
        <w:t xml:space="preserve">guarded by </w:t>
      </w:r>
      <w:r>
        <w:rPr>
          <w:rFonts w:ascii="Consolas" w:hAnsi="Consolas"/>
          <w:sz w:val="19"/>
        </w:rPr>
        <w:t>IF NOT EXISTS (SELECT 1 FROM sys.indexes WHERE name = '...')</w:t>
      </w:r>
      <w:r>
        <w:t>.</w:t>
      </w:r>
    </w:p>
    <w:p>
      <w:r>
        <w:t xml:space="preserve">But </w:t>
      </w:r>
      <w:r>
        <w:rPr>
          <w:rFonts w:ascii="Consolas" w:hAnsi="Consolas"/>
          <w:sz w:val="19"/>
        </w:rPr>
        <w:t>001_CreateReportingDB.sql</w:t>
      </w:r>
      <w:r>
        <w:t xml:space="preserve"> **already created an index with the exact</w:t>
      </w:r>
    </w:p>
    <w:p>
      <w:r>
        <w:t>same name** on the older, different columns (</w:t>
      </w:r>
      <w:r>
        <w:rPr>
          <w:rFonts w:ascii="Consolas" w:hAnsi="Consolas"/>
          <w:sz w:val="19"/>
        </w:rPr>
        <w:t>OrderDateKey</w:t>
      </w:r>
      <w:r>
        <w:t>,</w:t>
      </w:r>
    </w:p>
    <w:p>
      <w:r>
        <w:rPr>
          <w:rFonts w:ascii="Consolas" w:hAnsi="Consolas"/>
          <w:sz w:val="19"/>
        </w:rPr>
        <w:t>PaymentDateKey</w:t>
      </w:r>
      <w:r>
        <w:t xml:space="preserve">). Because the guard checks only the index </w:t>
      </w:r>
      <w:r>
        <w:rPr>
          <w:i/>
        </w:rPr>
        <w:t>name</w:t>
      </w:r>
      <w:r>
        <w:t>, not its</w:t>
      </w:r>
    </w:p>
    <w:p>
      <w:r>
        <w:t>definition, it sees the name already exists and silently skips creation.</w:t>
      </w:r>
    </w:p>
    <w:p>
      <w:r>
        <w:t>**Net effect, in every environment where migrations ran in declared</w:t>
      </w:r>
    </w:p>
    <w:p>
      <w:r>
        <w:t xml:space="preserve">order**: the new </w:t>
      </w:r>
      <w:r>
        <w:rPr>
          <w:rFonts w:ascii="Consolas" w:hAnsi="Consolas"/>
          <w:sz w:val="19"/>
        </w:rPr>
        <w:t>DateKey</w:t>
      </w:r>
      <w:r>
        <w:t xml:space="preserve"> column — added specifically to support a</w:t>
      </w:r>
    </w:p>
    <w:p>
      <w:r>
        <w:t xml:space="preserve">reporting/BI query path — has </w:t>
      </w:r>
      <w:r>
        <w:rPr>
          <w:b/>
        </w:rPr>
        <w:t>never actually been indexed</w:t>
      </w:r>
      <w:r>
        <w:t>, in any</w:t>
      </w:r>
    </w:p>
    <w:p>
      <w:r>
        <w:t xml:space="preserve">environment. The stale index on </w:t>
      </w:r>
      <w:r>
        <w:rPr>
          <w:rFonts w:ascii="Consolas" w:hAnsi="Consolas"/>
          <w:sz w:val="19"/>
        </w:rPr>
        <w:t>OrderDateKey</w:t>
      </w:r>
      <w:r>
        <w:t>/</w:t>
      </w:r>
      <w:r>
        <w:rPr>
          <w:rFonts w:ascii="Consolas" w:hAnsi="Consolas"/>
          <w:sz w:val="19"/>
        </w:rPr>
        <w:t>PaymentDateKey</w:t>
      </w:r>
      <w:r>
        <w:t xml:space="preserve"> remains,</w:t>
      </w:r>
    </w:p>
    <w:p>
      <w:r>
        <w:t>unrelated to the column it now shares a name with.</w:t>
      </w:r>
    </w:p>
    <w:p>
      <w:r>
        <w:rPr>
          <w:b/>
        </w:rPr>
        <w:t>Fix</w:t>
      </w:r>
      <w:r>
        <w:t xml:space="preserve"> (documented here, not executed): </w:t>
      </w:r>
      <w:r>
        <w:rPr>
          <w:rFonts w:ascii="Consolas" w:hAnsi="Consolas"/>
          <w:sz w:val="19"/>
        </w:rPr>
        <w:t>002</w:t>
      </w:r>
      <w:r>
        <w:t xml:space="preserve"> should have used a</w:t>
      </w:r>
    </w:p>
    <w:p>
      <w:r>
        <w:t xml:space="preserve">distinctly-named index (e.g. </w:t>
      </w:r>
      <w:r>
        <w:rPr>
          <w:rFonts w:ascii="Consolas" w:hAnsi="Consolas"/>
          <w:sz w:val="19"/>
        </w:rPr>
        <w:t>IX_FactSalesOrders_DateKey_v2</w:t>
      </w:r>
      <w:r>
        <w:t xml:space="preserve"> or, better,</w:t>
      </w:r>
    </w:p>
    <w:p>
      <w:r>
        <w:t>named for what it actually indexes going forward) and/or the migration</w:t>
      </w:r>
    </w:p>
    <w:p>
      <w:r>
        <w:t xml:space="preserve">author should have run </w:t>
      </w:r>
      <w:r>
        <w:rPr>
          <w:rFonts w:ascii="Consolas" w:hAnsi="Consolas"/>
          <w:sz w:val="19"/>
        </w:rPr>
        <w:t>DROP INDEX IF EXISTS ... ; CREATE INDEX ...</w:t>
      </w:r>
    </w:p>
    <w:p>
      <w:r>
        <w:t>instead of a name-existence guard when the intent is to change what's</w:t>
      </w:r>
    </w:p>
    <w:p>
      <w:r>
        <w:t>indexed. See §7 for the governance rule this should become.</w:t>
      </w:r>
    </w:p>
    <w:p>
      <w:pPr>
        <w:pStyle w:val="Heading3"/>
      </w:pPr>
      <w:r>
        <w:t>6. Finding #4 — Redundant / Overlapping Indexes</w:t>
      </w:r>
    </w:p>
    <w:p>
      <w:r>
        <w:rPr>
          <w:b/>
        </w:rPr>
        <w:t>Confirmed, unambiguous case</w:t>
      </w:r>
      <w:r>
        <w:t xml:space="preserve">: </w:t>
      </w:r>
      <w:r>
        <w:rPr>
          <w:rFonts w:ascii="Consolas" w:hAnsi="Consolas"/>
          <w:sz w:val="19"/>
        </w:rPr>
        <w:t>Warehouse.Inventories</w:t>
      </w:r>
      <w:r>
        <w:t xml:space="preserve"> carries both: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CREATE INDEX IX_Inventory_TenantId ON Inventories(TenantId);</w:t>
        <w:br/>
        <w:t>CREATE INDEX IX_Inventory_LowStock ON Inventories(TenantId, AvailableQuantity, ReorderPoint);</w:t>
      </w:r>
    </w:p>
    <w:p>
      <w:r>
        <w:t xml:space="preserve">Any query seeking on </w:t>
      </w:r>
      <w:r>
        <w:rPr>
          <w:rFonts w:ascii="Consolas" w:hAnsi="Consolas"/>
          <w:sz w:val="19"/>
        </w:rPr>
        <w:t>TenantId</w:t>
      </w:r>
      <w:r>
        <w:t xml:space="preserve"> alone, or </w:t>
      </w:r>
      <w:r>
        <w:rPr>
          <w:rFonts w:ascii="Consolas" w:hAnsi="Consolas"/>
          <w:sz w:val="19"/>
        </w:rPr>
        <w:t>TenantId</w:t>
      </w:r>
      <w:r>
        <w:t xml:space="preserve"> plus a range on</w:t>
      </w:r>
    </w:p>
    <w:p>
      <w:r>
        <w:rPr>
          <w:rFonts w:ascii="Consolas" w:hAnsi="Consolas"/>
          <w:sz w:val="19"/>
        </w:rPr>
        <w:t>AvailableQuantity</w:t>
      </w:r>
      <w:r>
        <w:t>/</w:t>
      </w:r>
      <w:r>
        <w:rPr>
          <w:rFonts w:ascii="Consolas" w:hAnsi="Consolas"/>
          <w:sz w:val="19"/>
        </w:rPr>
        <w:t>ReorderPoint</w:t>
      </w:r>
      <w:r>
        <w:t>, is already served by</w:t>
      </w:r>
    </w:p>
    <w:p>
      <w:r>
        <w:rPr>
          <w:rFonts w:ascii="Consolas" w:hAnsi="Consolas"/>
          <w:sz w:val="19"/>
        </w:rPr>
        <w:t>IX_Inventory_LowStock</w:t>
      </w:r>
      <w:r>
        <w:t xml:space="preserve">'s prefix. </w:t>
      </w:r>
      <w:r>
        <w:rPr>
          <w:rFonts w:ascii="Consolas" w:hAnsi="Consolas"/>
          <w:sz w:val="19"/>
        </w:rPr>
        <w:t>IX_Inventory_TenantId</w:t>
      </w:r>
      <w:r>
        <w:t xml:space="preserve"> is a fully</w:t>
      </w:r>
    </w:p>
    <w:p>
      <w:r>
        <w:t>redundant B-Tree, separately maintained on a table where</w:t>
      </w:r>
    </w:p>
    <w:p>
      <w:r>
        <w:rPr>
          <w:rFonts w:ascii="Consolas" w:hAnsi="Consolas"/>
          <w:sz w:val="19"/>
        </w:rPr>
        <w:t>AvailableQuantity</w:t>
      </w:r>
      <w:r>
        <w:t xml:space="preserve"> changes on every stock movement — i.e., it's paying</w:t>
      </w:r>
    </w:p>
    <w:p>
      <w:r>
        <w:t>the maintenance cost of an extra index with zero added query capability.</w:t>
      </w:r>
    </w:p>
    <w:p>
      <w:r>
        <w:t>**This is the single clearest "just drop it" candidate in the whole</w:t>
      </w:r>
    </w:p>
    <w:p>
      <w:r>
        <w:t>catalog.**</w:t>
      </w:r>
    </w:p>
    <w:p>
      <w:r>
        <w:rPr>
          <w:b/>
        </w:rPr>
        <w:t>Consolidation candidates</w:t>
      </w:r>
      <w:r>
        <w:t xml:space="preserve"> (each table below carries 3 separate</w:t>
      </w:r>
    </w:p>
    <w:p>
      <w:r>
        <w:t xml:space="preserve">single-purpose indexes where a </w:t>
      </w:r>
      <w:r>
        <w:rPr>
          <w:rFonts w:ascii="Consolas" w:hAnsi="Consolas"/>
          <w:sz w:val="19"/>
        </w:rPr>
        <w:t>TenantId</w:t>
      </w:r>
      <w:r>
        <w:t>-leading composite would likely</w:t>
      </w:r>
    </w:p>
    <w:p>
      <w:r>
        <w:t>serve the same access patterns):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Shipping.Shipments</w:t>
      </w:r>
      <w:r>
        <w:t xml:space="preserve">: </w:t>
      </w:r>
      <w:r>
        <w:rPr>
          <w:rFonts w:ascii="Consolas" w:hAnsi="Consolas"/>
          <w:sz w:val="19"/>
        </w:rPr>
        <w:t>OrderId</w:t>
      </w:r>
      <w:r>
        <w:t xml:space="preserve">, </w:t>
      </w:r>
      <w:r>
        <w:rPr>
          <w:rFonts w:ascii="Consolas" w:hAnsi="Consolas"/>
          <w:sz w:val="19"/>
        </w:rPr>
        <w:t>TenantId</w:t>
      </w:r>
      <w:r>
        <w:t xml:space="preserve">, </w:t>
      </w:r>
      <w:r>
        <w:rPr>
          <w:rFonts w:ascii="Consolas" w:hAnsi="Consolas"/>
          <w:sz w:val="19"/>
        </w:rPr>
        <w:t>Status</w:t>
      </w:r>
      <w:r>
        <w:t xml:space="preserve"> as 3 standalone</w:t>
      </w:r>
    </w:p>
    <w:p>
      <w:r>
        <w:t>indexes.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POS.Transactions</w:t>
      </w:r>
      <w:r>
        <w:t xml:space="preserve">: </w:t>
      </w:r>
      <w:r>
        <w:rPr>
          <w:rFonts w:ascii="Consolas" w:hAnsi="Consolas"/>
          <w:sz w:val="19"/>
        </w:rPr>
        <w:t>TerminalId+Status</w:t>
      </w:r>
      <w:r>
        <w:t xml:space="preserve">, </w:t>
      </w:r>
      <w:r>
        <w:rPr>
          <w:rFonts w:ascii="Consolas" w:hAnsi="Consolas"/>
          <w:sz w:val="19"/>
        </w:rPr>
        <w:t>TenantId</w:t>
      </w:r>
      <w:r>
        <w:t xml:space="preserve"> alone, </w:t>
      </w:r>
      <w:r>
        <w:rPr>
          <w:rFonts w:ascii="Consolas" w:hAnsi="Consolas"/>
          <w:sz w:val="19"/>
        </w:rPr>
        <w:t>CashShiftId</w:t>
      </w:r>
    </w:p>
    <w:p>
      <w:r>
        <w:t>alone — on what is likely the single highest-insert-rate table in the</w:t>
      </w:r>
    </w:p>
    <w:p>
      <w:r>
        <w:t>retail domain.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Promotion.Coupons</w:t>
      </w:r>
      <w:r>
        <w:t xml:space="preserve">: </w:t>
      </w:r>
      <w:r>
        <w:rPr>
          <w:rFonts w:ascii="Consolas" w:hAnsi="Consolas"/>
          <w:sz w:val="19"/>
        </w:rPr>
        <w:t>Code+TenantId</w:t>
      </w:r>
      <w:r>
        <w:t xml:space="preserve">, </w:t>
      </w:r>
      <w:r>
        <w:rPr>
          <w:rFonts w:ascii="Consolas" w:hAnsi="Consolas"/>
          <w:sz w:val="19"/>
        </w:rPr>
        <w:t>PromotionId</w:t>
      </w:r>
      <w:r>
        <w:t xml:space="preserve"> alone, </w:t>
      </w:r>
      <w:r>
        <w:rPr>
          <w:rFonts w:ascii="Consolas" w:hAnsi="Consolas"/>
          <w:sz w:val="19"/>
        </w:rPr>
        <w:t>TenantId</w:t>
      </w:r>
    </w:p>
    <w:p>
      <w:r>
        <w:t>alone.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Product.ProductAttributeValues</w:t>
      </w:r>
      <w:r>
        <w:t xml:space="preserve">: </w:t>
      </w:r>
      <w:r>
        <w:rPr>
          <w:rFonts w:ascii="Consolas" w:hAnsi="Consolas"/>
          <w:sz w:val="19"/>
        </w:rPr>
        <w:t>(OwnerType, OwnerId, ProductAttributeId)</w:t>
      </w:r>
    </w:p>
    <w:p>
      <w:r>
        <w:t xml:space="preserve">filtered-unique overlaps </w:t>
      </w:r>
      <w:r>
        <w:rPr>
          <w:rFonts w:ascii="Consolas" w:hAnsi="Consolas"/>
          <w:sz w:val="19"/>
        </w:rPr>
        <w:t>(OwnerType, OwnerId)</w:t>
      </w:r>
      <w:r>
        <w:t xml:space="preserve"> plain — worth a DBA check</w:t>
      </w:r>
    </w:p>
    <w:p>
      <w:r>
        <w:t>on whether the plain one can be dropped in favor of the unique one.</w:t>
      </w:r>
    </w:p>
    <w:p>
      <w:r>
        <w:t>These are lower-confidence than the Warehouse case (a real query-plan</w:t>
      </w:r>
    </w:p>
    <w:p>
      <w:r>
        <w:t>review against actual traffic is needed before dropping any of them), but</w:t>
      </w:r>
    </w:p>
    <w:p>
      <w:r>
        <w:t>all four are worth that review.</w:t>
      </w:r>
    </w:p>
    <w:p>
      <w:pPr>
        <w:pStyle w:val="Heading3"/>
      </w:pPr>
      <w:r>
        <w:t>7. Finding #5 — Migration Hygiene (governance gaps, not B-Tree defects)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MasterData/001_CreateMasterDataDB.sql</w:t>
      </w:r>
      <w:r>
        <w:t xml:space="preserve"> and</w:t>
      </w:r>
    </w:p>
    <w:p>
      <w:r>
        <w:rPr>
          <w:rFonts w:ascii="Consolas" w:hAnsi="Consolas"/>
          <w:sz w:val="19"/>
        </w:rPr>
        <w:t>002_ProvisionMissingTablesAndColumns.sql</w:t>
      </w:r>
      <w:r>
        <w:t xml:space="preserve"> redeclare an almost-identical</w:t>
      </w:r>
    </w:p>
    <w:p>
      <w:r>
        <w:t xml:space="preserve">index set for </w:t>
      </w:r>
      <w:r>
        <w:rPr>
          <w:rFonts w:ascii="Consolas" w:hAnsi="Consolas"/>
          <w:sz w:val="19"/>
        </w:rPr>
        <w:t>Employees</w:t>
      </w:r>
      <w:r>
        <w:t>/geography/translation tables. Both are</w:t>
      </w:r>
    </w:p>
    <w:p>
      <w:r>
        <w:t xml:space="preserve">properly </w:t>
      </w:r>
      <w:r>
        <w:rPr>
          <w:rFonts w:ascii="Consolas" w:hAnsi="Consolas"/>
          <w:sz w:val="19"/>
        </w:rPr>
        <w:t>IF NOT EXISTS</w:t>
      </w:r>
      <w:r>
        <w:t>-guarded (not a runtime bug), but the schema's</w:t>
      </w:r>
    </w:p>
    <w:p>
      <w:r>
        <w:t>real intent is now scattered across two files, making future drift</w:t>
      </w:r>
    </w:p>
    <w:p>
      <w:r>
        <w:t>harder to spot.</w:t>
      </w:r>
    </w:p>
    <w:p>
      <w:pPr>
        <w:pStyle w:val="ListBullet"/>
        <w:ind w:left="340"/>
      </w:pPr>
      <w:r>
        <w:t xml:space="preserve">The </w:t>
      </w:r>
      <w:r>
        <w:rPr>
          <w:rFonts w:ascii="Consolas" w:hAnsi="Consolas"/>
          <w:sz w:val="19"/>
        </w:rPr>
        <w:t>Promotion</w:t>
      </w:r>
      <w:r>
        <w:t xml:space="preserve"> and </w:t>
      </w:r>
      <w:r>
        <w:rPr>
          <w:rFonts w:ascii="Consolas" w:hAnsi="Consolas"/>
          <w:sz w:val="19"/>
        </w:rPr>
        <w:t>PromotionService</w:t>
      </w:r>
      <w:r>
        <w:t xml:space="preserve"> folders under </w:t>
      </w:r>
      <w:r>
        <w:rPr>
          <w:rFonts w:ascii="Consolas" w:hAnsi="Consolas"/>
          <w:sz w:val="19"/>
        </w:rPr>
        <w:t>src/Database/</w:t>
      </w:r>
    </w:p>
    <w:p>
      <w:r>
        <w:t xml:space="preserve">both target the same </w:t>
      </w:r>
      <w:r>
        <w:rPr>
          <w:rFonts w:ascii="Consolas" w:hAnsi="Consolas"/>
          <w:sz w:val="19"/>
        </w:rPr>
        <w:t>PromotionDB</w:t>
      </w:r>
      <w:r>
        <w:t xml:space="preserve"> (</w:t>
      </w:r>
      <w:r>
        <w:rPr>
          <w:rFonts w:ascii="Consolas" w:hAnsi="Consolas"/>
          <w:sz w:val="19"/>
        </w:rPr>
        <w:t>002_FixPromotionEntityColumns.sql</w:t>
      </w:r>
    </w:p>
    <w:p>
      <w:r>
        <w:t xml:space="preserve">lives under </w:t>
      </w:r>
      <w:r>
        <w:rPr>
          <w:rFonts w:ascii="Consolas" w:hAnsi="Consolas"/>
          <w:sz w:val="19"/>
        </w:rPr>
        <w:t>PromotionService/</w:t>
      </w:r>
      <w:r>
        <w:t xml:space="preserve"> while </w:t>
      </w:r>
      <w:r>
        <w:rPr>
          <w:rFonts w:ascii="Consolas" w:hAnsi="Consolas"/>
          <w:sz w:val="19"/>
        </w:rPr>
        <w:t>001_CreatePromotionDB.sql</w:t>
      </w:r>
      <w:r>
        <w:t xml:space="preserve"> lives</w:t>
      </w:r>
    </w:p>
    <w:p>
      <w:r>
        <w:t xml:space="preserve">under </w:t>
      </w:r>
      <w:r>
        <w:rPr>
          <w:rFonts w:ascii="Consolas" w:hAnsi="Consolas"/>
          <w:sz w:val="19"/>
        </w:rPr>
        <w:t>Promotion/</w:t>
      </w:r>
      <w:r>
        <w:t>) — a folder-naming inconsistency, not an index</w:t>
      </w:r>
    </w:p>
    <w:p>
      <w:r>
        <w:t>problem, but worth fixing so future migrations land in the right place.</w:t>
      </w:r>
    </w:p>
    <w:p>
      <w:pPr>
        <w:pStyle w:val="Heading3"/>
      </w:pPr>
      <w:r>
        <w:t>8. Prioritized Recommendations</w:t>
      </w:r>
    </w:p>
    <w:p>
      <w:r>
        <w:rPr>
          <w:b/>
        </w:rPr>
        <w:t>Tier 1 — Low risk, high value, safe to schedule immediately:</w:t>
      </w:r>
    </w:p>
    <w:p>
      <w:pPr>
        <w:pStyle w:val="ListNumber"/>
        <w:ind w:left="340"/>
      </w:pPr>
      <w:r>
        <w:t>Fix the Reporting masked-index bug (§5) — add the missing index under a</w:t>
      </w:r>
    </w:p>
    <w:p>
      <w:r>
        <w:t>correctly distinct name; this is additive (a new index), not a change</w:t>
      </w:r>
    </w:p>
    <w:p>
      <w:r>
        <w:t>to an existing one, so it carries no regression risk.</w:t>
      </w:r>
    </w:p>
    <w:p>
      <w:pPr>
        <w:pStyle w:val="ListNumber"/>
        <w:ind w:left="340"/>
      </w:pPr>
      <w:r>
        <w:t xml:space="preserve">Drop </w:t>
      </w:r>
      <w:r>
        <w:rPr>
          <w:rFonts w:ascii="Consolas" w:hAnsi="Consolas"/>
          <w:sz w:val="19"/>
        </w:rPr>
        <w:t>IX_Inventory_TenantId</w:t>
      </w:r>
      <w:r>
        <w:t xml:space="preserve"> on </w:t>
      </w:r>
      <w:r>
        <w:rPr>
          <w:rFonts w:ascii="Consolas" w:hAnsi="Consolas"/>
          <w:sz w:val="19"/>
        </w:rPr>
        <w:t>Warehouse.Inventories</w:t>
      </w:r>
      <w:r>
        <w:t xml:space="preserve"> (§6) — confirmed</w:t>
      </w:r>
    </w:p>
    <w:p>
      <w:r>
        <w:t>redundant, removing it can only reduce write cost.</w:t>
      </w:r>
    </w:p>
    <w:p>
      <w:pPr>
        <w:pStyle w:val="ListNumber"/>
        <w:ind w:left="340"/>
      </w:pPr>
      <w:r>
        <w:t xml:space="preserve">Convert </w:t>
      </w:r>
      <w:r>
        <w:rPr>
          <w:rFonts w:ascii="Consolas" w:hAnsi="Consolas"/>
          <w:sz w:val="19"/>
        </w:rPr>
        <w:t>HRM.IX_Leave_Pending</w:t>
      </w:r>
      <w:r>
        <w:t xml:space="preserve"> to drop the redundant filtered key</w:t>
      </w:r>
    </w:p>
    <w:p>
      <w:r>
        <w:t>column (§4) — same reasoning, purely a maintenance-cost reduction.</w:t>
      </w:r>
    </w:p>
    <w:p>
      <w:r>
        <w:rPr>
          <w:b/>
        </w:rPr>
        <w:t>Tier 2 — Medium risk, needs a query-pattern review first:</w:t>
      </w:r>
    </w:p>
    <w:p>
      <w:pPr>
        <w:pStyle w:val="ListNumber"/>
        <w:ind w:left="340"/>
      </w:pPr>
      <w:r>
        <w:t xml:space="preserve">Review and likely consolidate the lone/standalone </w:t>
      </w:r>
      <w:r>
        <w:rPr>
          <w:rFonts w:ascii="Consolas" w:hAnsi="Consolas"/>
          <w:sz w:val="19"/>
        </w:rPr>
        <w:t>Status</w:t>
      </w:r>
      <w:r>
        <w:t xml:space="preserve"> indexes</w:t>
      </w:r>
    </w:p>
    <w:p>
      <w:r>
        <w:t>listed in §4 into filtered indexes matching their real hot-path</w:t>
      </w:r>
    </w:p>
    <w:p>
      <w:r>
        <w:t xml:space="preserve">predicate (mirroring </w:t>
      </w:r>
      <w:r>
        <w:rPr>
          <w:rFonts w:ascii="Consolas" w:hAnsi="Consolas"/>
          <w:sz w:val="19"/>
        </w:rPr>
        <w:t>IX_Reservations_Expiring</w:t>
      </w:r>
      <w:r>
        <w:t>).</w:t>
      </w:r>
    </w:p>
    <w:p>
      <w:pPr>
        <w:pStyle w:val="ListNumber"/>
        <w:ind w:left="340"/>
      </w:pPr>
      <w:r>
        <w:t>Review the 4 consolidation candidates in §6 against actual query plans</w:t>
      </w:r>
    </w:p>
    <w:p>
      <w:r>
        <w:t>before merging/dropping any of them.</w:t>
      </w:r>
    </w:p>
    <w:p>
      <w:r>
        <w:rPr>
          <w:b/>
        </w:rPr>
        <w:t>Tier 3 — High risk, dedicated project, out of scope for this review to execute:</w:t>
      </w:r>
    </w:p>
    <w:p>
      <w:pPr>
        <w:pStyle w:val="ListNumber"/>
        <w:ind w:left="340"/>
      </w:pPr>
      <w:r>
        <w:t>The system-wide clustered-key strategy (§3) — start with</w:t>
      </w:r>
    </w:p>
    <w:p>
      <w:r>
        <w:rPr>
          <w:rFonts w:ascii="Consolas" w:hAnsi="Consolas"/>
          <w:sz w:val="19"/>
        </w:rPr>
        <w:t>NEWSEQUENTIALID()</w:t>
      </w:r>
      <w:r>
        <w:t xml:space="preserve"> on the highest-insert-rate tables identified there,</w:t>
      </w:r>
    </w:p>
    <w:p>
      <w:r>
        <w:t xml:space="preserve">treat the </w:t>
      </w:r>
      <w:r>
        <w:rPr>
          <w:rFonts w:ascii="Consolas" w:hAnsi="Consolas"/>
          <w:sz w:val="19"/>
        </w:rPr>
        <w:t>BIGINT IDENTITY</w:t>
      </w:r>
      <w:r>
        <w:t xml:space="preserve"> surrogate-key approach as a distinct,</w:t>
      </w:r>
    </w:p>
    <w:p>
      <w:r>
        <w:t>later-phase project if I/O density becomes a measured bottleneck.</w:t>
      </w:r>
    </w:p>
    <w:p>
      <w:pPr>
        <w:pStyle w:val="Heading3"/>
      </w:pPr>
      <w:r>
        <w:t>9. Migration Governance — Preventing Recurrence</w:t>
      </w:r>
    </w:p>
    <w:p>
      <w:r>
        <w:t>The Reporting bug (§5) happened because a name-existence guard was used</w:t>
      </w:r>
    </w:p>
    <w:p>
      <w:r>
        <w:t>where a definition-change was intended. Adopt as a standing rule for this</w:t>
      </w:r>
    </w:p>
    <w:p>
      <w:r>
        <w:t>repo's migration scripts:</w:t>
      </w:r>
    </w:p>
    <w:p>
      <w:pPr>
        <w:pStyle w:val="ListBullet"/>
        <w:ind w:left="340"/>
      </w:pPr>
      <w:r>
        <w:t>**</w:t>
      </w:r>
      <w:r>
        <w:rPr>
          <w:rFonts w:ascii="Consolas" w:hAnsi="Consolas"/>
          <w:sz w:val="19"/>
        </w:rPr>
        <w:t>IF NOT EXISTS</w:t>
      </w:r>
      <w:r>
        <w:t xml:space="preserve"> on index name is only safe when the index's definition</w:t>
      </w:r>
    </w:p>
    <w:p>
      <w:r>
        <w:t>never changes.** If a later migration needs to change what an existing</w:t>
      </w:r>
    </w:p>
    <w:p>
      <w:r>
        <w:t>index covers (add/remove/reorder columns, change the filter), it must</w:t>
      </w:r>
    </w:p>
    <w:p>
      <w:r>
        <w:rPr>
          <w:rFonts w:ascii="Consolas" w:hAnsi="Consolas"/>
          <w:sz w:val="19"/>
        </w:rPr>
        <w:t>DROP INDEX IF EXISTS &lt;name&gt; ON &lt;table&gt;;</w:t>
      </w:r>
      <w:r>
        <w:t xml:space="preserve"> before `CREATE INDEX &lt;name&gt;</w:t>
      </w:r>
    </w:p>
    <w:p>
      <w:r>
        <w:t>...</w:t>
      </w:r>
      <w:r>
        <w:rPr>
          <w:rFonts w:ascii="Consolas" w:hAnsi="Consolas"/>
          <w:sz w:val="19"/>
        </w:rPr>
        <w:t xml:space="preserve"> — the pattern </w:t>
      </w:r>
      <w:r>
        <w:t>Product/010_AddBrandsUomConversionsAndPricingUpdates.</w:t>
      </w:r>
    </w:p>
    <w:p>
      <w:r>
        <w:t>sql</w:t>
      </w:r>
      <w:r>
        <w:rPr>
          <w:rFonts w:ascii="Consolas" w:hAnsi="Consolas"/>
          <w:sz w:val="19"/>
        </w:rPr>
        <w:t xml:space="preserve"> already uses correctly for </w:t>
      </w:r>
      <w:r>
        <w:t>IX_PriceListItems_Key`. Follow that</w:t>
      </w:r>
    </w:p>
    <w:p>
      <w:r>
        <w:t>file's pattern, not Reporting's.</w:t>
      </w:r>
    </w:p>
    <w:p>
      <w:pPr>
        <w:pStyle w:val="ListBullet"/>
        <w:ind w:left="340"/>
      </w:pPr>
      <w:r>
        <w:t>**Never reuse an index name across migrations on the same table unless</w:t>
      </w:r>
    </w:p>
    <w:p>
      <w:r>
        <w:t>intentionally redefining it** — a new column needs a new index name.</w:t>
      </w:r>
    </w:p>
    <w:p>
      <w:pPr>
        <w:pStyle w:val="ListBullet"/>
        <w:ind w:left="340"/>
      </w:pPr>
      <w:r>
        <w:t>Add "does this PR add/change an index, and if so does it follow the</w:t>
      </w:r>
    </w:p>
    <w:p>
      <w:r>
        <w:t>DROP+CREATE pattern above" as an explicit line item in code review for</w:t>
      </w:r>
    </w:p>
    <w:p>
      <w:r>
        <w:t xml:space="preserve">any </w:t>
      </w:r>
      <w:r>
        <w:rPr>
          <w:rFonts w:ascii="Consolas" w:hAnsi="Consolas"/>
          <w:sz w:val="19"/>
        </w:rPr>
        <w:t>src/Database/**/*.sql</w:t>
      </w:r>
      <w:r>
        <w:t xml:space="preserve"> change.</w:t>
      </w:r>
    </w:p>
    <w:p>
      <w:pPr>
        <w:pStyle w:val="Heading3"/>
      </w:pPr>
      <w:r>
        <w:t>10. Full Per-Database Index Catalog (Appendix)</w:t>
      </w:r>
    </w:p>
    <w:p>
      <w:r>
        <w:t>The complete table-by-table index inventory (table, index name, key</w:t>
      </w:r>
    </w:p>
    <w:p>
      <w:r>
        <w:t>columns in order, unique/composite flags) for all 16 databases —</w:t>
      </w:r>
    </w:p>
    <w:p>
      <w:r>
        <w:t>Accounting, CRM, HRM, Identity, MasterData, Notification, POS, Payment,</w:t>
      </w:r>
    </w:p>
    <w:p>
      <w:r>
        <w:t>Product, Promotion, Purchasing, Reporting, Sales, Shipping, Warehouse —</w:t>
      </w:r>
    </w:p>
    <w:p>
      <w:r>
        <w:t>that this review's findings above were derived from is maintained as a</w:t>
      </w:r>
    </w:p>
    <w:p>
      <w:r>
        <w:t xml:space="preserve">living reference in </w:t>
      </w:r>
      <w:r>
        <w:rPr>
          <w:rFonts w:ascii="Consolas" w:hAnsi="Consolas"/>
          <w:sz w:val="19"/>
        </w:rPr>
        <w:t>docs/architecture/database-map.md</w:t>
      </w:r>
      <w:r>
        <w:t xml:space="preserve"> (schema/table</w:t>
      </w:r>
    </w:p>
    <w:p>
      <w:r>
        <w:t>design) and is reproduced in full in the companion</w:t>
      </w:r>
    </w:p>
    <w:p>
      <w:r>
        <w:rPr>
          <w:rFonts w:ascii="Consolas" w:hAnsi="Consolas"/>
          <w:sz w:val="19"/>
        </w:rPr>
        <w:t>05-Database-Performance-Indexing-Review.docx</w:t>
      </w:r>
      <w:r>
        <w:t xml:space="preserve"> deliverable's appendix</w:t>
      </w:r>
    </w:p>
    <w:p>
      <w:r>
        <w:t>section, generated from this file. Cross-reference the per-service</w:t>
      </w:r>
    </w:p>
    <w:p>
      <w:r>
        <w:rPr>
          <w:rFonts w:ascii="Consolas" w:hAnsi="Consolas"/>
          <w:sz w:val="19"/>
        </w:rPr>
        <w:t>src/Database/{Service}/*.sql</w:t>
      </w:r>
      <w:r>
        <w:t xml:space="preserve"> files directly for the authoritative,</w:t>
      </w:r>
    </w:p>
    <w:p>
      <w:r>
        <w:t>always-current source.</w:t>
      </w:r>
    </w:p>
    <w:p>
      <w:r>
        <w:br w:type="page"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