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30"/>
        </w:rPr>
        <w:t>KỊCH BẢN THUYET TRÌNH LUẬN VĂN TỐT NGHIỆP</w:t>
        <w:br/>
        <w:t>PHẦN: PHÂN TÍCH KHU VỰC &amp; BẢN ĐỒ NHIỆT (NYC HOTSPOT HEATMAP)</w:t>
      </w:r>
    </w:p>
    <w:p>
      <w:pPr>
        <w:jc w:val="center"/>
      </w:pPr>
      <w:r>
        <w:t>──────────────────────────────────────────────────</w:t>
      </w:r>
    </w:p>
    <w:tbl>
      <w:tblPr>
        <w:tblStyle w:val="LightShading-Accent1"/>
        <w:tblW w:type="auto" w:w="0"/>
        <w:tblLook w:firstColumn="1" w:firstRow="1" w:lastColumn="0" w:lastRow="0" w:noHBand="0" w:noVBand="1" w:val="04A0"/>
      </w:tblPr>
      <w:tblGrid>
        <w:gridCol w:w="4680"/>
        <w:gridCol w:w="4680"/>
      </w:tblGrid>
      <w:tr>
        <w:tc>
          <w:tcPr>
            <w:tcW w:type="dxa" w:w="4680"/>
          </w:tcPr>
          <w:p>
            <w:r>
              <w:rPr>
                <w:b/>
              </w:rPr>
              <w:t>Nội dung thuyết trình:</w:t>
            </w:r>
          </w:p>
        </w:tc>
        <w:tc>
          <w:tcPr>
            <w:tcW w:type="dxa" w:w="4680"/>
          </w:tcPr>
          <w:p>
            <w:r>
              <w:t>Tab 2 — Phân tích khu vực &amp; Bản đồ nhiệt</w:t>
            </w:r>
          </w:p>
        </w:tc>
      </w:tr>
      <w:tr>
        <w:tc>
          <w:tcPr>
            <w:tcW w:type="dxa" w:w="4680"/>
          </w:tcPr>
          <w:p>
            <w:r>
              <w:rPr>
                <w:b/>
              </w:rPr>
              <w:t>Thời lượng dự kiến:</w:t>
            </w:r>
          </w:p>
        </w:tc>
        <w:tc>
          <w:tcPr>
            <w:tcW w:type="dxa" w:w="4680"/>
          </w:tcPr>
          <w:p>
            <w:r>
              <w:t>2 – 3 phút</w:t>
            </w:r>
          </w:p>
        </w:tc>
      </w:tr>
      <w:tr>
        <w:tc>
          <w:tcPr>
            <w:tcW w:type="dxa" w:w="4680"/>
          </w:tcPr>
          <w:p>
            <w:r>
              <w:rPr>
                <w:b/>
              </w:rPr>
              <w:t>Số liệu tích hợp:</w:t>
            </w:r>
          </w:p>
        </w:tc>
        <w:tc>
          <w:tcPr>
            <w:tcW w:type="dxa" w:w="4680"/>
          </w:tcPr>
          <w:p>
            <w:r>
              <w:t>251 Neighborhoods, 5 Boroughs, 46,990 giao dịch</w:t>
            </w:r>
          </w:p>
        </w:tc>
      </w:tr>
      <w:tr>
        <w:tc>
          <w:tcPr>
            <w:tcW w:type="dxa" w:w="4680"/>
          </w:tcPr>
          <w:p>
            <w:r>
              <w:rPr>
                <w:b/>
              </w:rPr>
              <w:t>Tài liệu tham chiếu:</w:t>
            </w:r>
          </w:p>
        </w:tc>
        <w:tc>
          <w:tcPr>
            <w:tcW w:type="dxa" w:w="4680"/>
          </w:tcPr>
          <w:p>
            <w:r>
              <w:t>Dulieu_Cleaned.csv &amp; src/dashboard.py</w:t>
            </w:r>
          </w:p>
        </w:tc>
      </w:tr>
    </w:tbl>
    <w:p/>
    <w:p>
      <w:r>
        <w:rPr>
          <w:b/>
          <w:color w:val="4338CA"/>
          <w:sz w:val="26"/>
        </w:rPr>
        <w:t>1. KỊCH BẢN NÓI CHI TIẾT (SPEECH SCRIPT)</w:t>
      </w:r>
    </w:p>
    <w:tbl>
      <w:tblPr>
        <w:tblW w:type="auto" w:w="0"/>
        <w:tblLook w:firstColumn="1" w:firstRow="1" w:lastColumn="0" w:lastRow="0" w:noHBand="0" w:noVBand="1" w:val="04A0"/>
      </w:tblPr>
      <w:tblGrid>
        <w:gridCol w:w="9360"/>
      </w:tblGrid>
      <w:tr>
        <w:tc>
          <w:tcPr>
            <w:tcW w:type="dxa" w:w="9360"/>
            <w:shd w:fill="F0F4FF"/>
            <w:tcBorders>
              <w:top w:val="none"/>
              <w:left w:val="single" w:sz="24" w:space="0" w:color="6366F1"/>
              <w:bottom w:val="none"/>
              <w:right w:val="none"/>
            </w:tcBorders>
          </w:tcPr>
          <w:p>
            <w:pPr>
              <w:spacing w:line="300" w:lineRule="auto" w:before="120" w:after="120"/>
            </w:pPr>
            <w:r>
              <w:t>"Kính thưa các thầy cô trong Hội đồng, sau đây em xin phép được trình bày nội dung trọng tâm của hệ thống: Phần Phân tích không gian khu vực và Bản đồ nhiệt tương tác (NYC Hotspot Heatmap).</w:t>
              <w:br/>
              <w:br/>
              <w:t>Mục tiêu của phần phân tích này là trực quan hóa sự phân hóa địa lý của thị trường bất động sản New York, từ đó giúp người dùng nhận diện các điểm nóng về giá và thanh khoản.</w:t>
              <w:br/>
              <w:br/>
              <w:t>Để thực hiện điều này, trên giao diện Tab 2 của Dashboard, chúng em đã phát triển một bản đồ nhiệt tương tác sử dụng công nghệ Plotly Density Mapbox tích hợp trên nền bản đồ mở OpenStreetMap. Hệ thống tổng hợp dữ liệu của 251 khu vực (neighborhood) trên khắp 5 quận của New York.</w:t>
              <w:br/>
              <w:br/>
              <w:t>Về mặt kỹ thuật, để giải quyết triệt để vấn đề thiếu tọa độ địa lý chi tiết trên một số giao dịch, chúng em đã xây dựng hàm suy luận tọa độ get_neighborhood_coords. Hàm này sử dụng thuật toán băm Adler32 dựa trên tên khu vực để tính toán một độ lệch nhỏ (offset) từ tâm quận. Giải pháp này giúp hiển thị trực quan toàn bộ các khu vực mà không làm chồng lấp các điểm dữ liệu lên nhau.</w:t>
              <w:br/>
              <w:br/>
              <w:t>Trên bản đồ này, người dùng có thể linh hoạt chuyển đổi giữa 3 chế độ hiển thị:</w:t>
              <w:br/>
              <w:t>• Chế độ thứ nhất là Giá trung vị ($): Sử dụng dải màu Plasma. Khi quan sát, Hội đồng có thể thấy rõ các 'điểm nóng' giá cao màu vàng sáng tập trung đậm đặc tại vùng lõi trung tâm Manhattan như Midtown East, Financial District hay Upper East Side với mức giá trung vị vượt từ 1.2 đến 1.5 triệu USD.</w:t>
              <w:br/>
              <w:t>• Chế độ thứ hai là Đơn giá trung vị trên mỗi foot vuông ($/sqft): Sử dụng dải màu Inferno. Chế độ này giúp các nhà đầu tư đánh giá hiệu quả sử dụng không gian và dòng tiền.</w:t>
              <w:br/>
              <w:t>• Chế độ thứ ba là Mật độ giao dịch: Sử dụng dải màu Viridis. Chế độ này ngay lập tức chỉ ra các khu vực có thanh khoản cao nhất. Điển hình là Flushing-North thuộc Queens dẫn đầu toàn thị trường với 1,692 giao dịch, theo sau là Upper East Side của Manhattan với 1,469 giao dịch.</w:t>
              <w:br/>
              <w:br/>
              <w:t>Tiếp theo, để đánh giá sâu hơn sự phân bổ giá giữa các quận, chúng em sử dụng biểu đồ hộp Boxplot. Biểu đồ này chỉ ra mức độ chênh lệch cực kỳ lớn khi giá nhà trung vị tại quận Manhattan cao gấp hơn 3 lần so với quận Bronx hay Staten Island. Đồng thời, biểu đồ hộp cũng thể hiện biên độ dao động giá của Manhattan rộng nhất, phản ánh tính chất đắt đỏ và biến động mạnh của khu vực trung tâm tài chính.</w:t>
              <w:br/>
              <w:br/>
              <w:t>Cuối cùng, hệ thống cung cấp hai biểu đồ cột nằm ngang so sánh song song: một bên là Top 15 khu vực có lượng giao dịch lớn nhất (đại diện cho sức hút thanh khoản), và một bên là Top 15 khu vực có đơn giá $/sqft cao nhất (đại diện cho giá trị tài sản). Sự phân tách này giúp nhà đầu tư dễ dàng đưa ra quyết định: nên chọn phân khúc an toàn, thanh khoản tốt ở các quận vệ tinh như Queens và Brooklyn, hay đầu tư vào phân khúc cao cấp sinh lời cao ở lõi Manhattan.</w:t>
              <w:br/>
              <w:br/>
              <w:t>Tóm lại, phần phân tích khu vực đã kết hợp thành công giữa phân tích không gian địa lý trực quan và các chỉ số kinh tế thực tế, cung cấp một công cụ hỗ trợ ra quyết định mạnh mẽ cho người dùng cuối.</w:t>
              <w:br/>
              <w:br/>
              <w:t>Em xin kết thúc phần trình bày về phân tích khu vực tại đây và rất mong nhận được ý kiến đóng góp của Hội đồng."</w:t>
            </w:r>
          </w:p>
        </w:tc>
      </w:tr>
    </w:tbl>
    <w:p/>
    <w:p>
      <w:r>
        <w:rPr>
          <w:b/>
          <w:color w:val="0EA5E9"/>
          <w:sz w:val="26"/>
        </w:rPr>
        <w:t>2. GỢI Ý ĐIỀU CHỈNH NGÔN NGỮ CƠ THỂ &amp; GIỌNG ĐIỆU</w:t>
      </w:r>
    </w:p>
    <w:p>
      <w:pPr>
        <w:pStyle w:val="ListBullet"/>
      </w:pPr>
      <w:r>
        <w:rPr>
          <w:b/>
        </w:rPr>
        <w:t>Giọng điệu:</w:t>
      </w:r>
      <w:r>
        <w:t xml:space="preserve"> Tự tin, rõ ràng, dõng dạc. Nhấn mạnh ở những từ khóa kỹ thuật (Plotly Density Mapbox, Adler32 offset) và các số liệu thực tế (1,692 giao dịch, 251 neighborhoods).</w:t>
      </w:r>
    </w:p>
    <w:p>
      <w:pPr>
        <w:pStyle w:val="ListBullet"/>
      </w:pPr>
      <w:r>
        <w:rPr>
          <w:b/>
        </w:rPr>
        <w:t>Tương tác trực quan:</w:t>
      </w:r>
      <w:r>
        <w:t xml:space="preserve"> Khi nói đến chế độ hiển thị nào trên bản đồ nhiệt, hãy click trực tiếp chuột vào chế độ đó trên dashboard đang chạy ở port 8501. Hover chuột vào điểm nóng trên bản đồ để Hội đồng thấy khả năng hiển thị tooltip thời gian thực.</w:t>
      </w:r>
    </w:p>
    <w:p>
      <w:pPr>
        <w:pStyle w:val="ListBullet"/>
      </w:pPr>
      <w:r>
        <w:rPr>
          <w:b/>
        </w:rPr>
        <w:t>Kết nối với Hội đồng:</w:t>
      </w:r>
      <w:r>
        <w:t xml:space="preserve"> Dành 2 giây dừng lại sau khi đọc xong số liệu lớn để hội đồng kịp tiếp thu.</w:t>
      </w:r>
    </w:p>
    <w:p/>
    <w:p>
      <w:r>
        <w:rPr>
          <w:b/>
          <w:color w:val="EA580C"/>
          <w:sz w:val="26"/>
        </w:rPr>
        <w:t>3. BỘ CÂU HỎI PHẢN BIỆN THƯỜNG GẶP CỦA HỘI ĐỒNG &amp; CÁCH TRẢ LỜI</w:t>
      </w:r>
    </w:p>
    <w:p>
      <w:pPr>
        <w:spacing w:before="80" w:after="40"/>
      </w:pPr>
      <w:r>
        <w:rPr>
          <w:b/>
          <w:color w:val="1E1B4B"/>
        </w:rPr>
        <w:t>Câu hỏi 1: Tại sao không dùng tọa độ GPS chi tiết từng số nhà mà dùng tọa độ trung vị theo Neighborhood?</w:t>
      </w:r>
    </w:p>
    <w:p>
      <w:pPr>
        <w:spacing w:after="160"/>
        <w:ind w:left="360"/>
      </w:pPr>
      <w:r>
        <w:rPr>
          <w:i/>
          <w:color w:val="4B5563"/>
        </w:rPr>
        <w:t>Trả lời: (1) Bảo mật thông tin: NYC ẩn danh hóa giao dịch theo Block/Lot và Neighborhood. (2) Hiệu năng hệ thống: Render 47k điểm GPS đơn lẻ lên bản đồ Mapbox sẽ gây lag trình duyệt. Gom nhóm giúp trực quan hóa toàn cảnh nhanh chóng dưới 1s.</w:t>
      </w:r>
    </w:p>
    <w:p>
      <w:pPr>
        <w:spacing w:before="80" w:after="40"/>
      </w:pPr>
      <w:r>
        <w:rPr>
          <w:b/>
          <w:color w:val="1E1B4B"/>
        </w:rPr>
        <w:t>Câu hỏi 2: Tại sao diện tích đất (land_sqft) lại có tương quan nghịch với giá bán trên toàn tập dữ liệu?</w:t>
      </w:r>
    </w:p>
    <w:p>
      <w:pPr>
        <w:spacing w:after="160"/>
        <w:ind w:left="360"/>
      </w:pPr>
      <w:r>
        <w:rPr>
          <w:i/>
          <w:color w:val="4B5563"/>
        </w:rPr>
        <w:t>Trả lời: Đây là hiện tượng Confounding Variable (biến gây nhiễu địa lý). Các căn hộ Manhattan cực đắt đỏ nhưng có land_sqft rất nhỏ (chung cư cao tầng), trong khi nhà ngoại ô Staten Island có land_sqft lớn nhưng giá thấp hơn nhiều. Khi phân tích riêng biệt (stratified) trong từng quận đơn lẻ, tương quan sẽ quay về dương (+).</w:t>
      </w:r>
    </w:p>
    <w:p>
      <w:pPr>
        <w:spacing w:before="80" w:after="40"/>
      </w:pPr>
      <w:r>
        <w:rPr>
          <w:b/>
          <w:color w:val="1E1B4B"/>
        </w:rPr>
        <w:t>Câu hỏi 3: Thuật toán băm Adler32 offset hoạt động như thế nào?</w:t>
      </w:r>
    </w:p>
    <w:p>
      <w:pPr>
        <w:spacing w:after="160"/>
        <w:ind w:left="360"/>
      </w:pPr>
      <w:r>
        <w:rPr>
          <w:i/>
          <w:color w:val="4B5563"/>
        </w:rPr>
        <w:t>Trả lời: Khi gặp các Neighborhood mới chưa có tọa độ chuẩn trong từ điển, hàm get_neighborhood_coords băm tên khu vực thành số nguyên, sau đó chia lấy dư để tạo độ lệch offset địa lý nhỏ quanh tâm quận. Giúp tất cả khu vực đều hiển thị riêng biệt, không bị trùng đè vị trí.</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B4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