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Liberation Sans" w:hAnsi="Liberation Sans" w:eastAsia="Liberation Sans"/>
          <w:b/>
          <w:color w:val="000000"/>
          <w:sz w:val="42"/>
        </w:rPr>
        <w:t>Game Market Intelligence cho sàng lọc cơ hội phát hành</w:t>
      </w:r>
    </w:p>
    <w:p>
      <w:pPr>
        <w:spacing w:after="80"/>
      </w:pPr>
      <w:r>
        <w:rPr>
          <w:rFonts w:ascii="Liberation Sans" w:hAnsi="Liberation Sans" w:eastAsia="Liberation Sans"/>
          <w:b/>
          <w:color w:val="17365D"/>
          <w:sz w:val="22"/>
        </w:rPr>
        <w:t>NextGen Gamota Mission 1 Bài test A</w:t>
      </w:r>
    </w:p>
    <w:p>
      <w:pPr>
        <w:spacing w:after="160"/>
      </w:pPr>
      <w:r>
        <w:rPr>
          <w:rFonts w:ascii="Liberation Sans" w:hAnsi="Liberation Sans" w:eastAsia="Liberation Sans"/>
          <w:color w:val="4B5563"/>
          <w:sz w:val="16"/>
        </w:rPr>
        <w:t>Evidence cutoff 07:00 ICT ngày 09/10/2026   |   Bản thảo để người nộp rà soát</w:t>
      </w:r>
    </w:p>
    <w:p>
      <w:pPr>
        <w:spacing w:after="100" w:line="259" w:lineRule="auto"/>
      </w:pPr>
      <w:r>
        <w:rPr>
          <w:rFonts w:ascii="Liberation Sans" w:hAnsi="Liberation Sans" w:eastAsia="Liberation Sans"/>
          <w:color w:val="111827"/>
          <w:sz w:val="20"/>
        </w:rPr>
        <w:t>Tôi chọn giải quyết một quyết định hẹp nhưng có giá trị kinh doanh rõ ràng: một cơ hội game mobile có đáng được đưa vào vòng thẩm định sâu hơn cho thị trường Việt Nam hay không. Sản phẩm không cố dự đoán game sẽ thành công. Nó giúp Publishing hoặc Strategy Lead đi từ thông tin Internet phân tán đến một quyết định sàng lọc có thể truy ngược về bằng chứng.</w:t>
      </w:r>
    </w:p>
    <w:p>
      <w:pPr>
        <w:pStyle w:val="Heading1"/>
        <w:keepNext/>
        <w:spacing w:before="80" w:after="60"/>
      </w:pPr>
      <w:r>
        <w:rPr>
          <w:rFonts w:ascii="Liberation Sans" w:hAnsi="Liberation Sans" w:eastAsia="Liberation Sans"/>
          <w:b/>
          <w:color w:val="000000"/>
          <w:sz w:val="28"/>
        </w:rPr>
        <w:t>1 Vấn đề và người dùng</w:t>
      </w:r>
    </w:p>
    <w:p>
      <w:pPr>
        <w:spacing w:after="68" w:line="259" w:lineRule="auto"/>
      </w:pPr>
      <w:r>
        <w:rPr>
          <w:rFonts w:ascii="Liberation Sans" w:hAnsi="Liberation Sans" w:eastAsia="Liberation Sans"/>
          <w:color w:val="111827"/>
          <w:sz w:val="19"/>
        </w:rPr>
        <w:t>Nút thắt không nằm ở việc thiếu thông tin. Người nghiên cứu phải tìm nguồn, hiểu mỗi chỉ số đang đo điều gì, phát hiện dữ liệu lỗi thời hoặc mâu thuẫn, rồi nối các phát hiện với một quyết định. Gamota cũng lưu ý quy mô tải xuống có thể khác xa kết quả kinh doanh tại Việt Nam [1]. Nếu AI chỉ tóm tắt nhiều trang web, người dùng vẫn phải tự làm phần khó nhất: xác định claim nào đáng tin và khoảng trống nào có thể làm đổi quyết định.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227"/>
        <w:gridCol w:w="5227"/>
      </w:tblGrid>
      <w:tr>
        <w:trPr>
          <w:tblHeader w:val="true"/>
        </w:trPr>
        <w:tc>
          <w:tcPr>
            <w:tcW w:type="dxa" w:w="1987"/>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7"/>
              </w:rPr>
              <w:t>Thành phần</w:t>
            </w:r>
          </w:p>
        </w:tc>
        <w:tc>
          <w:tcPr>
            <w:tcW w:type="dxa" w:w="8467"/>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7"/>
              </w:rPr>
              <w:t>Lựa chọn đã chốt</w:t>
            </w:r>
          </w:p>
        </w:tc>
      </w:tr>
      <w:tr>
        <w:tc>
          <w:tcPr>
            <w:tcW w:type="dxa" w:w="198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7"/>
              </w:rPr>
              <w:t>Người dùng chính</w:t>
            </w:r>
          </w:p>
        </w:tc>
        <w:tc>
          <w:tcPr>
            <w:tcW w:type="dxa" w:w="846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7"/>
              </w:rPr>
              <w:t>Publishing hoặc Strategy Lead tại Gamota</w:t>
            </w:r>
          </w:p>
        </w:tc>
      </w:tr>
      <w:tr>
        <w:tc>
          <w:tcPr>
            <w:tcW w:type="dxa" w:w="198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7"/>
              </w:rPr>
              <w:t>Quyết định</w:t>
            </w:r>
          </w:p>
        </w:tc>
        <w:tc>
          <w:tcPr>
            <w:tcW w:type="dxa" w:w="846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7"/>
              </w:rPr>
              <w:t>Dành thêm thời gian và nguồn lực cho full diligence, kiểm chứng có mục tiêu, hay dừng cơ hội</w:t>
            </w:r>
          </w:p>
        </w:tc>
      </w:tr>
      <w:tr>
        <w:tc>
          <w:tcPr>
            <w:tcW w:type="dxa" w:w="198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7"/>
              </w:rPr>
              <w:t>Đầu ra</w:t>
            </w:r>
          </w:p>
        </w:tc>
        <w:tc>
          <w:tcPr>
            <w:tcW w:type="dxa" w:w="846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7"/>
              </w:rPr>
              <w:t>Decision brief ngắn, có nguồn, cơ hội, rủi ro, mâu thuẫn, điều chưa biết và hành động tiếp theo</w:t>
            </w:r>
          </w:p>
        </w:tc>
      </w:tr>
      <w:tr>
        <w:tc>
          <w:tcPr>
            <w:tcW w:type="dxa" w:w="198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7"/>
              </w:rPr>
              <w:t>Ranh giới</w:t>
            </w:r>
          </w:p>
        </w:tc>
        <w:tc>
          <w:tcPr>
            <w:tcW w:type="dxa" w:w="846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7"/>
              </w:rPr>
              <w:t>Đây là sàng lọc ban đầu, không phải quyết định đầu tư hoặc phát hành chính thức</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Forced Decision 1</w:t>
      </w:r>
    </w:p>
    <w:p>
      <w:pPr>
        <w:spacing w:after="68" w:line="259" w:lineRule="auto"/>
      </w:pPr>
      <w:r>
        <w:rPr>
          <w:rFonts w:ascii="Liberation Sans" w:hAnsi="Liberation Sans" w:eastAsia="Liberation Sans"/>
          <w:color w:val="111827"/>
          <w:sz w:val="19"/>
        </w:rPr>
        <w:t>Nếu chỉ giải quyết một vấn đề, tôi chọn sàng lọc cơ hội phát hành cho Publishing hoặc Strategy Lead. Họ cần biết một tựa game có đủ cơ sở để bước vào vòng nghiên cứu sâu hơn hay không. Kết quả phải ngắn, có thể kiểm tra lại, nêu cả cơ hội, rủi ro và thông tin còn thiếu, rồi đề xuất Tiếp tục, Tạm giữ hoặc Dừng. Ở giai đoạn này, bỏ lỡ một cơ hội tốt nguy hiểm hơn việc cho một cơ hội yếu đi thêm một vòng, vì full diligence vẫn còn cơ hội loại bỏ nó. Vì vậy, thiếu dữ liệu dẫn đến kiểm chứng có mục tiêu, không tự động dẫn đến loại bỏ.</w:t>
      </w:r>
    </w:p>
    <w:p>
      <w:pPr>
        <w:pStyle w:val="Heading2"/>
        <w:keepNext/>
        <w:spacing w:before="50" w:after="40"/>
      </w:pPr>
      <w:r>
        <w:rPr>
          <w:rFonts w:ascii="Liberation Sans" w:hAnsi="Liberation Sans" w:eastAsia="Liberation Sans"/>
          <w:b/>
          <w:color w:val="000000"/>
          <w:sz w:val="21"/>
        </w:rPr>
        <w:t>Nguyên tắc thiết kế</w:t>
      </w:r>
    </w:p>
    <w:p>
      <w:pPr>
        <w:pStyle w:val="ListBullet"/>
        <w:spacing w:after="34" w:line="250" w:lineRule="auto"/>
        <w:ind w:left="245" w:hanging="173"/>
      </w:pPr>
      <w:r>
        <w:rPr>
          <w:rFonts w:ascii="Liberation Sans" w:hAnsi="Liberation Sans" w:eastAsia="Liberation Sans"/>
          <w:color w:val="111827"/>
          <w:sz w:val="18"/>
        </w:rPr>
        <w:t>Độ tin cậy gắn với từng claim và nguồn, không gắn với cảm giác tự tin của mô hình.</w:t>
      </w:r>
    </w:p>
    <w:p>
      <w:pPr>
        <w:pStyle w:val="ListBullet"/>
        <w:spacing w:after="34" w:line="250" w:lineRule="auto"/>
        <w:ind w:left="245" w:hanging="173"/>
      </w:pPr>
      <w:r>
        <w:rPr>
          <w:rFonts w:ascii="Liberation Sans" w:hAnsi="Liberation Sans" w:eastAsia="Liberation Sans"/>
          <w:color w:val="111827"/>
          <w:sz w:val="18"/>
        </w:rPr>
        <w:t>Khuyến nghị và mức đầy đủ của bằng chứng là hai trường riêng biệt.</w:t>
      </w:r>
    </w:p>
    <w:p>
      <w:pPr>
        <w:pStyle w:val="ListBullet"/>
        <w:spacing w:after="34" w:line="250" w:lineRule="auto"/>
        <w:ind w:left="245" w:hanging="173"/>
      </w:pPr>
      <w:r>
        <w:rPr>
          <w:rFonts w:ascii="Liberation Sans" w:hAnsi="Liberation Sans" w:eastAsia="Liberation Sans"/>
          <w:color w:val="111827"/>
          <w:sz w:val="18"/>
        </w:rPr>
        <w:t>AI đề xuất; người phụ trách quyết định, có thể override và phải ghi lý do.</w:t>
      </w:r>
    </w:p>
    <w:p>
      <w:pPr>
        <w:pStyle w:val="ListBullet"/>
        <w:spacing w:after="34" w:line="250" w:lineRule="auto"/>
        <w:ind w:left="245" w:hanging="173"/>
      </w:pPr>
      <w:r>
        <w:rPr>
          <w:rFonts w:ascii="Liberation Sans" w:hAnsi="Liberation Sans" w:eastAsia="Liberation Sans"/>
          <w:color w:val="111827"/>
          <w:sz w:val="18"/>
        </w:rPr>
        <w:t>Chỉ yêu cầu người dùng kiểm tra claim ảnh hưởng quyết định, nguồn yếu hoặc mâu thuẫn.</w:t>
      </w:r>
    </w:p>
    <w:p>
      <w:r>
        <w:br w:type="page"/>
      </w:r>
    </w:p>
    <w:p>
      <w:pPr>
        <w:pStyle w:val="Heading1"/>
        <w:keepNext/>
        <w:spacing w:before="80" w:after="60"/>
      </w:pPr>
      <w:r>
        <w:rPr>
          <w:rFonts w:ascii="Liberation Sans" w:hAnsi="Liberation Sans" w:eastAsia="Liberation Sans"/>
          <w:b/>
          <w:color w:val="000000"/>
          <w:sz w:val="28"/>
        </w:rPr>
        <w:t>2 Giải pháp và luồng hoạt động</w:t>
      </w:r>
    </w:p>
    <w:p>
      <w:pPr>
        <w:spacing w:after="68" w:line="259" w:lineRule="auto"/>
      </w:pPr>
      <w:r>
        <w:rPr>
          <w:rFonts w:ascii="Liberation Sans" w:hAnsi="Liberation Sans" w:eastAsia="Liberation Sans"/>
          <w:color w:val="111827"/>
          <w:sz w:val="19"/>
        </w:rPr>
        <w:t>Mô hình vận hành là evidence centered hybrid. AI chủ động tìm và xử lý thông tin, nhưng mọi kết luận quan trọng phải có đường dẫn từ brief đến claim, nguồn và giới hạn diễn giải. Con người không duyệt từng URL; họ tập trung vào các điểm có khả năng làm thay đổi khuyến nghị.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13"/>
        <w:gridCol w:w="2613"/>
        <w:gridCol w:w="2613"/>
        <w:gridCol w:w="2613"/>
      </w:tblGrid>
      <w:tr>
        <w:trPr>
          <w:tblHeader w:val="true"/>
        </w:trPr>
        <w:tc>
          <w:tcPr>
            <w:tcW w:type="dxa" w:w="2621"/>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1 Brief</w:t>
            </w:r>
          </w:p>
        </w:tc>
        <w:tc>
          <w:tcPr>
            <w:tcW w:type="dxa" w:w="2621"/>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2 Evidence</w:t>
            </w:r>
          </w:p>
        </w:tc>
        <w:tc>
          <w:tcPr>
            <w:tcW w:type="dxa" w:w="2621"/>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3 Reasoning</w:t>
            </w:r>
          </w:p>
        </w:tc>
        <w:tc>
          <w:tcPr>
            <w:tcW w:type="dxa" w:w="2621"/>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4 Decision</w:t>
            </w:r>
          </w:p>
        </w:tc>
      </w:tr>
      <w:tr>
        <w:tc>
          <w:tcPr>
            <w:tcW w:type="dxa" w:w="2621"/>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Xác định game, thị trường, cutoff và câu hỏi</w:t>
            </w:r>
          </w:p>
        </w:tc>
        <w:tc>
          <w:tcPr>
            <w:tcW w:type="dxa" w:w="2621"/>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Tìm nguồn, trích claim, lưu phạm vi và thời gian</w:t>
            </w:r>
          </w:p>
        </w:tc>
        <w:tc>
          <w:tcPr>
            <w:tcW w:type="dxa" w:w="2621"/>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Đối chiếu, tạo conflict card, chạy các gate</w:t>
            </w:r>
          </w:p>
        </w:tc>
        <w:tc>
          <w:tcPr>
            <w:tcW w:type="dxa" w:w="2621"/>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Tạo brief, người dùng quyết định và ghi override</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Kiến trúc giải pháp</w:t>
      </w:r>
    </w:p>
    <w:p>
      <w:pPr>
        <w:spacing w:after="68" w:line="259" w:lineRule="auto"/>
      </w:pPr>
      <w:r>
        <w:rPr>
          <w:rFonts w:ascii="Liberation Sans" w:hAnsi="Liberation Sans" w:eastAsia="Liberation Sans"/>
          <w:color w:val="111827"/>
          <w:sz w:val="19"/>
        </w:rPr>
        <w:t>Kiến trúc MVP gồm năm lớp đơn giản: Research Brief định nghĩa câu hỏi; Search and Source Capture thu thập tài liệu; Claim Ledger lưu claim, loại nguồn, ngày, thị trường và giới hạn; Conflict and Gate Logic phân biệt hard blocker, evidence gap và tín hiệu cơ hội; Decision Brief hiển thị khuyến nghị cùng đường dẫn bằng chứng. Override của người dùng được lưu ở Decision Log để đánh giá và cải thiện quy tắc sau này.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85"/>
        <w:gridCol w:w="3485"/>
        <w:gridCol w:w="3485"/>
      </w:tblGrid>
      <w:tr>
        <w:trPr>
          <w:tblHeader w:val="true"/>
        </w:trPr>
        <w:tc>
          <w:tcPr>
            <w:tcW w:type="dxa" w:w="1267"/>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Vai trò</w:t>
            </w:r>
          </w:p>
        </w:tc>
        <w:tc>
          <w:tcPr>
            <w:tcW w:type="dxa" w:w="4579"/>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Làm gì</w:t>
            </w:r>
          </w:p>
        </w:tc>
        <w:tc>
          <w:tcPr>
            <w:tcW w:type="dxa" w:w="4896"/>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Không được làm</w:t>
            </w:r>
          </w:p>
        </w:tc>
      </w:tr>
      <w:tr>
        <w:tc>
          <w:tcPr>
            <w:tcW w:type="dxa" w:w="126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AI</w:t>
            </w:r>
          </w:p>
        </w:tc>
        <w:tc>
          <w:tcPr>
            <w:tcW w:type="dxa" w:w="4579"/>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Phân rã câu hỏi; tìm và khử trùng lặp nguồn; trích claim; so sánh phạm vi, thời gian và phương pháp; soạn khuyến nghị có lý do</w:t>
            </w:r>
          </w:p>
        </w:tc>
        <w:tc>
          <w:tcPr>
            <w:tcW w:type="dxa" w:w="4896"/>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Tự xác nhận nguồn yếu; biến ước tính thành số chính thức; suy rộng từ nước ngoài sang Việt Nam; quyết định cuối</w:t>
            </w:r>
          </w:p>
        </w:tc>
      </w:tr>
      <w:tr>
        <w:tc>
          <w:tcPr>
            <w:tcW w:type="dxa" w:w="126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Dữ liệu</w:t>
            </w:r>
          </w:p>
        </w:tc>
        <w:tc>
          <w:tcPr>
            <w:tcW w:type="dxa" w:w="4579"/>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Nguồn gốc, ngày công bố, loại nguồn, claim, scope, methodology, trích đoạn và URL; trạng thái verified, estimate, inference hoặc unknown</w:t>
            </w:r>
          </w:p>
        </w:tc>
        <w:tc>
          <w:tcPr>
            <w:tcW w:type="dxa" w:w="4896"/>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Che giấu khoảng trống; trộn số liệu khác định nghĩa; dùng dữ liệu sau cutoff để củng cố nhận định trước đó</w:t>
            </w:r>
          </w:p>
        </w:tc>
      </w:tr>
      <w:tr>
        <w:tc>
          <w:tcPr>
            <w:tcW w:type="dxa" w:w="126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Con người</w:t>
            </w:r>
          </w:p>
        </w:tc>
        <w:tc>
          <w:tcPr>
            <w:tcW w:type="dxa" w:w="4579"/>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Đặt hard blocker và evidence gate; kiểm tra claim trọng yếu; bổ sung bối cảnh nội bộ; quyết định hoặc override có lý do</w:t>
            </w:r>
          </w:p>
        </w:tc>
        <w:tc>
          <w:tcPr>
            <w:tcW w:type="dxa" w:w="4896"/>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Phải đọc lại mọi nguồn; chấp nhận đề xuất AI mà không xem bằng chứng quyết định</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Hợp đồng bằng chứng</w:t>
      </w:r>
    </w:p>
    <w:p>
      <w:pPr>
        <w:pStyle w:val="ListBullet"/>
        <w:spacing w:after="34" w:line="250" w:lineRule="auto"/>
        <w:ind w:left="245" w:hanging="173"/>
      </w:pPr>
      <w:r>
        <w:rPr>
          <w:rFonts w:ascii="Liberation Sans" w:hAnsi="Liberation Sans" w:eastAsia="Liberation Sans"/>
          <w:color w:val="111827"/>
          <w:sz w:val="18"/>
        </w:rPr>
        <w:t>Mỗi claim có nguồn, ngày, thị trường, khoảng thời gian đo và loại dữ kiện. Nguồn của publisher được giữ là company reported; số Sensor Tower được ghi là estimate.</w:t>
      </w:r>
    </w:p>
    <w:p>
      <w:pPr>
        <w:pStyle w:val="ListBullet"/>
        <w:spacing w:after="34" w:line="250" w:lineRule="auto"/>
        <w:ind w:left="245" w:hanging="173"/>
      </w:pPr>
      <w:r>
        <w:rPr>
          <w:rFonts w:ascii="Liberation Sans" w:hAnsi="Liberation Sans" w:eastAsia="Liberation Sans"/>
          <w:color w:val="111827"/>
          <w:sz w:val="18"/>
        </w:rPr>
        <w:t>Mỗi kết luận trong decision brief trỏ về các claim hỗ trợ và phản biện. Claim không có nguồn chỉ được ghi là giả thuyết hoặc unknown.</w:t>
      </w:r>
    </w:p>
    <w:p>
      <w:pPr>
        <w:pStyle w:val="ListBullet"/>
        <w:spacing w:after="34" w:line="250" w:lineRule="auto"/>
        <w:ind w:left="245" w:hanging="173"/>
      </w:pPr>
      <w:r>
        <w:rPr>
          <w:rFonts w:ascii="Liberation Sans" w:hAnsi="Liberation Sans" w:eastAsia="Liberation Sans"/>
          <w:color w:val="111827"/>
          <w:sz w:val="18"/>
        </w:rPr>
        <w:t>Nguồn được đánh giá theo mức trực tiếp với câu hỏi, phương pháp, độ mới, tính độc lập và khả năng kiểm tra; uy tín của tổ chức không tự động quyết định claim đúng.</w:t>
      </w:r>
    </w:p>
    <w:p>
      <w:pPr>
        <w:pStyle w:val="Heading2"/>
        <w:keepNext/>
        <w:spacing w:before="50" w:after="40"/>
      </w:pPr>
      <w:r>
        <w:rPr>
          <w:rFonts w:ascii="Liberation Sans" w:hAnsi="Liberation Sans" w:eastAsia="Liberation Sans"/>
          <w:b/>
          <w:color w:val="000000"/>
          <w:sz w:val="21"/>
        </w:rPr>
        <w:t>Đầu ra người dùng</w:t>
      </w:r>
    </w:p>
    <w:p>
      <w:pPr>
        <w:spacing w:after="68" w:line="259" w:lineRule="auto"/>
      </w:pPr>
      <w:r>
        <w:rPr>
          <w:rFonts w:ascii="Liberation Sans" w:hAnsi="Liberation Sans" w:eastAsia="Liberation Sans"/>
          <w:color w:val="111827"/>
          <w:sz w:val="19"/>
        </w:rPr>
        <w:t>Decision brief gồm một khuyến nghị, các bằng chứng làm đổi quyết định, cơ hội và rủi ro chính, conflict cards, unknowns, hành động kiểm chứng, thời điểm tái quyết định và phần quyết định của người phụ trách. Cấu trúc này biến Tạm giữ thành một công việc cụ thể thay vì lời nhắc nghiên cứu thêm.</w:t>
      </w:r>
    </w:p>
    <w:p>
      <w:r>
        <w:br w:type="page"/>
      </w:r>
    </w:p>
    <w:p>
      <w:pPr>
        <w:pStyle w:val="Heading1"/>
        <w:keepNext/>
        <w:spacing w:before="80" w:after="60"/>
      </w:pPr>
      <w:r>
        <w:rPr>
          <w:rFonts w:ascii="Liberation Sans" w:hAnsi="Liberation Sans" w:eastAsia="Liberation Sans"/>
          <w:b/>
          <w:color w:val="000000"/>
          <w:sz w:val="28"/>
        </w:rPr>
        <w:t>3 Logic khuyến nghị và xử lý mâu thuẫn</w:t>
      </w:r>
    </w:p>
    <w:p>
      <w:pPr>
        <w:spacing w:after="68" w:line="259" w:lineRule="auto"/>
      </w:pPr>
      <w:r>
        <w:rPr>
          <w:rFonts w:ascii="Liberation Sans" w:hAnsi="Liberation Sans" w:eastAsia="Liberation Sans"/>
          <w:color w:val="111827"/>
          <w:sz w:val="19"/>
        </w:rPr>
        <w:t>Hệ thống không dùng điểm trọng số trong MVP vì chưa có dữ liệu để chứng minh trọng số. Thay vào đó, logic đi qua ba bước: hard gate do con người định nghĩa; evidence gate kiểm tra dữ liệu tối thiểu; sau đó AI tổng hợp tín hiệu tích cực và tiêu cực theo một khung cố định.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85"/>
        <w:gridCol w:w="3485"/>
        <w:gridCol w:w="3485"/>
      </w:tblGrid>
      <w:tr>
        <w:trPr>
          <w:tblHeader w:val="true"/>
        </w:trPr>
        <w:tc>
          <w:tcPr>
            <w:tcW w:type="dxa" w:w="122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Trạng thái</w:t>
            </w:r>
          </w:p>
        </w:tc>
        <w:tc>
          <w:tcPr>
            <w:tcW w:type="dxa" w:w="5256"/>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Điều kiện</w:t>
            </w:r>
          </w:p>
        </w:tc>
        <w:tc>
          <w:tcPr>
            <w:tcW w:type="dxa" w:w="4262"/>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Hành động</w:t>
            </w:r>
          </w:p>
        </w:tc>
      </w:tr>
      <w:tr>
        <w:tc>
          <w:tcPr>
            <w:tcW w:type="dxa" w:w="12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Tiếp tục</w:t>
            </w:r>
          </w:p>
        </w:tc>
        <w:tc>
          <w:tcPr>
            <w:tcW w:type="dxa" w:w="5256"/>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Evidence gate đạt; opportunity thesis có hỗ trợ; chưa có hard blocker đã xác minh</w:t>
            </w:r>
          </w:p>
        </w:tc>
        <w:tc>
          <w:tcPr>
            <w:tcW w:type="dxa" w:w="4262"/>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Mở full diligence và nêu các giả thuyết cần kiểm tra tiếp</w:t>
            </w:r>
          </w:p>
        </w:tc>
      </w:tr>
      <w:tr>
        <w:tc>
          <w:tcPr>
            <w:tcW w:type="dxa" w:w="12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Tạm giữ</w:t>
            </w:r>
          </w:p>
        </w:tc>
        <w:tc>
          <w:tcPr>
            <w:tcW w:type="dxa" w:w="5256"/>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Claim có khả năng đảo chiều còn thiếu hoặc mâu thuẫn chưa giải quyết</w:t>
            </w:r>
          </w:p>
        </w:tc>
        <w:tc>
          <w:tcPr>
            <w:tcW w:type="dxa" w:w="4262"/>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Nêu thiếu gì, vì sao quan trọng, tìm ở đâu, ai quyết định lại và khi nào</w:t>
            </w:r>
          </w:p>
        </w:tc>
      </w:tr>
      <w:tr>
        <w:tc>
          <w:tcPr>
            <w:tcW w:type="dxa" w:w="12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Dừng</w:t>
            </w:r>
          </w:p>
        </w:tc>
        <w:tc>
          <w:tcPr>
            <w:tcW w:type="dxa" w:w="5256"/>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Hard blocker được xác minh, hoặc bằng chứng đủ bao phủ và tín hiệu tiêu cực hội tụ</w:t>
            </w:r>
          </w:p>
        </w:tc>
        <w:tc>
          <w:tcPr>
            <w:tcW w:type="dxa" w:w="4262"/>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Loại khỏi pipeline hiện tại; cho phép mở lại khi có bằng chứng mới</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Forced Decision 3</w:t>
      </w:r>
    </w:p>
    <w:p>
      <w:pPr>
        <w:spacing w:after="68" w:line="259" w:lineRule="auto"/>
      </w:pPr>
      <w:r>
        <w:rPr>
          <w:rFonts w:ascii="Liberation Sans" w:hAnsi="Liberation Sans" w:eastAsia="Liberation Sans"/>
          <w:color w:val="111827"/>
          <w:sz w:val="19"/>
        </w:rPr>
        <w:t>Nếu hai nguồn đáng tin đưa ra kết luận trái ngược, hệ thống không lấy trung bình, bỏ một nguồn hay chọn theo danh tiếng. Trước hết, AI tách claim theo định nghĩa chỉ số, thị trường, nhóm người dùng, phương pháp và thời điểm. Nhiều mâu thuẫn sẽ biến mất khi thấy hai nguồn đang đo những thứ khác nhau. Nếu vẫn còn xung đột, hệ thống tạo Conflict Card, giữ nguyên cả hai nguồn, nêu mức liên quan và giới hạn của từng nguồn, rồi xác định bằng chứng nào có thể phân xử. Nếu xung đột ảnh hưởng trực tiếp đến quyết định mà chưa thể giải quyết, khuyến nghị là Tạm giữ kèm bước kiểm chứng cụ thể. Publishing hoặc Strategy Lead quyết định cuối cùng và ghi lý do nếu chọn khác AI.</w:t>
      </w:r>
    </w:p>
    <w:p>
      <w:pPr>
        <w:pStyle w:val="Heading2"/>
        <w:keepNext/>
        <w:spacing w:before="50" w:after="40"/>
      </w:pPr>
      <w:r>
        <w:rPr>
          <w:rFonts w:ascii="Liberation Sans" w:hAnsi="Liberation Sans" w:eastAsia="Liberation Sans"/>
          <w:b/>
          <w:color w:val="000000"/>
          <w:sz w:val="21"/>
        </w:rPr>
        <w:t>Những quyết định khó trong thiết kế</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227"/>
        <w:gridCol w:w="5227"/>
      </w:tblGrid>
      <w:tr>
        <w:trPr>
          <w:tblHeader w:val="true"/>
        </w:trPr>
        <w:tc>
          <w:tcPr>
            <w:tcW w:type="dxa" w:w="302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Rủi ro</w:t>
            </w:r>
          </w:p>
        </w:tc>
        <w:tc>
          <w:tcPr>
            <w:tcW w:type="dxa" w:w="7718"/>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Biện pháp trong MVP</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Nguồn nhiều nhưng không đúng câu hỏi</w:t>
            </w:r>
          </w:p>
        </w:tc>
        <w:tc>
          <w:tcPr>
            <w:tcW w:type="dxa" w:w="7718"/>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Lưu scope của từng claim; ưu tiên nguồn trực tiếp với quyết định, không đếm số lượng nguồn</w:t>
            </w:r>
          </w:p>
        </w:tc>
      </w:tr>
      <w:tr>
        <w:tc>
          <w:tcPr>
            <w:tcW w:type="dxa" w:w="30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Hallucination hoặc trích sai</w:t>
            </w:r>
          </w:p>
        </w:tc>
        <w:tc>
          <w:tcPr>
            <w:tcW w:type="dxa" w:w="7718"/>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Yêu cầu citation cho claim ảnh hưởng khuyến nghị; audit ngược từ brief về nguồn</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Suy rộng từ thị trường khác</w:t>
            </w:r>
          </w:p>
        </w:tc>
        <w:tc>
          <w:tcPr>
            <w:tcW w:type="dxa" w:w="7718"/>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Gắn thẻ transferability; yêu cầu bằng chứng Việt Nam riêng; không dùng Korea success thay cho Vietnam fit</w:t>
            </w:r>
          </w:p>
        </w:tc>
      </w:tr>
      <w:tr>
        <w:tc>
          <w:tcPr>
            <w:tcW w:type="dxa" w:w="30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Thiếu dữ liệu bị hiểu là tín hiệu xấu</w:t>
            </w:r>
          </w:p>
        </w:tc>
        <w:tc>
          <w:tcPr>
            <w:tcW w:type="dxa" w:w="7718"/>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Unknown dẫn đến Hold có mục tiêu; Stop cần blocker đã xác minh hoặc bằng chứng tiêu cực đủ bao phủ</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Automation bias</w:t>
            </w:r>
          </w:p>
        </w:tc>
        <w:tc>
          <w:tcPr>
            <w:tcW w:type="dxa" w:w="7718"/>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Human sign off; hiển thị evidence gaps; lưu override và lý do</w:t>
            </w:r>
          </w:p>
        </w:tc>
      </w:tr>
      <w:tr>
        <w:tc>
          <w:tcPr>
            <w:tcW w:type="dxa" w:w="30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Hold kéo dài vô thời hạn</w:t>
            </w:r>
          </w:p>
        </w:tc>
        <w:tc>
          <w:tcPr>
            <w:tcW w:type="dxa" w:w="7718"/>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Đặt điểm tái quyết định; Day 2 và một lần gia hạn chỉ là quy tắc thử nghiệm của MVP</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Hard blocker và unknown</w:t>
      </w:r>
    </w:p>
    <w:p>
      <w:pPr>
        <w:spacing w:after="68" w:line="259" w:lineRule="auto"/>
      </w:pPr>
      <w:r>
        <w:rPr>
          <w:rFonts w:ascii="Liberation Sans" w:hAnsi="Liberation Sans" w:eastAsia="Liberation Sans"/>
          <w:color w:val="111827"/>
          <w:sz w:val="19"/>
        </w:rPr>
        <w:t>Hard blocker phải được xác định trước và có bằng chứng rõ ràng, ví dụ chủ sở hữu quyền xác nhận territory không khả dụng hoặc yêu cầu pháp lý không thể đáp ứng. Không nhận được phản hồi từ chủ sở hữu quyền chỉ là unknown. Với cơ hội phát hành, hệ thống tách market potential khỏi business accessibility để một track tích cực không che lấp track còn lại chưa biết.</w:t>
      </w:r>
    </w:p>
    <w:p>
      <w:r>
        <w:br w:type="page"/>
      </w:r>
    </w:p>
    <w:p>
      <w:pPr>
        <w:pStyle w:val="Heading1"/>
        <w:keepNext/>
        <w:spacing w:before="80" w:after="60"/>
      </w:pPr>
      <w:r>
        <w:rPr>
          <w:rFonts w:ascii="Liberation Sans" w:hAnsi="Liberation Sans" w:eastAsia="Liberation Sans"/>
          <w:b/>
          <w:color w:val="000000"/>
          <w:sz w:val="28"/>
        </w:rPr>
        <w:t>4 MVP trong ba ngày</w:t>
      </w:r>
    </w:p>
    <w:p>
      <w:pPr>
        <w:pStyle w:val="Heading2"/>
        <w:keepNext/>
        <w:spacing w:before="50" w:after="40"/>
      </w:pPr>
      <w:r>
        <w:rPr>
          <w:rFonts w:ascii="Liberation Sans" w:hAnsi="Liberation Sans" w:eastAsia="Liberation Sans"/>
          <w:b/>
          <w:color w:val="000000"/>
          <w:sz w:val="21"/>
        </w:rPr>
        <w:t>Forced Decision 2</w:t>
      </w:r>
    </w:p>
    <w:p>
      <w:pPr>
        <w:spacing w:after="68" w:line="259" w:lineRule="auto"/>
      </w:pPr>
      <w:r>
        <w:rPr>
          <w:rFonts w:ascii="Liberation Sans" w:hAnsi="Liberation Sans" w:eastAsia="Liberation Sans"/>
          <w:color w:val="111827"/>
          <w:sz w:val="19"/>
        </w:rPr>
        <w:t>Trong ba ngày, tôi làm một prototype evidence first trên một game mobile tại Việt Nam. Mục tiêu là chứng minh quy trình đi từ câu hỏi đến claim ledger, conflict card và decision brief có thể kiểm tra lại. Tôi chưa xây hệ thống xếp hạng nhiều game, mô hình dự báo doanh thu, crawler production hay tích hợp dữ liệu trả phí và nội bộ. Những phần đó tốn thời gian nhưng chưa trả lời rủi ro lớn nhất: người dùng có tin, hiểu và dùng được khuyến nghị hay không.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85"/>
        <w:gridCol w:w="3485"/>
        <w:gridCol w:w="3485"/>
      </w:tblGrid>
      <w:tr>
        <w:trPr>
          <w:tblHeader w:val="true"/>
        </w:trPr>
        <w:tc>
          <w:tcPr>
            <w:tcW w:type="dxa" w:w="1008"/>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Ngày</w:t>
            </w:r>
          </w:p>
        </w:tc>
        <w:tc>
          <w:tcPr>
            <w:tcW w:type="dxa" w:w="5587"/>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Việc làm</w:t>
            </w:r>
          </w:p>
        </w:tc>
        <w:tc>
          <w:tcPr>
            <w:tcW w:type="dxa" w:w="4147"/>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Đầu ra kiểm tra được</w:t>
            </w:r>
          </w:p>
        </w:tc>
      </w:tr>
      <w:tr>
        <w:tc>
          <w:tcPr>
            <w:tcW w:type="dxa" w:w="1008"/>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Day 1</w:t>
            </w:r>
          </w:p>
        </w:tc>
        <w:tc>
          <w:tcPr>
            <w:tcW w:type="dxa" w:w="558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Chốt Research Brief và gate; thu thập nguồn cho case; trích claim và provenance</w:t>
            </w:r>
          </w:p>
        </w:tc>
        <w:tc>
          <w:tcPr>
            <w:tcW w:type="dxa" w:w="414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Claim Ledger có source type, date, scope, evidence status và unknowns</w:t>
            </w:r>
          </w:p>
        </w:tc>
      </w:tr>
      <w:tr>
        <w:tc>
          <w:tcPr>
            <w:tcW w:type="dxa" w:w="1008"/>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Day 2</w:t>
            </w:r>
          </w:p>
        </w:tc>
        <w:tc>
          <w:tcPr>
            <w:tcW w:type="dxa" w:w="558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Đối chiếu claim; tạo conflict cards; chạy logic Continue Hold Stop; ưu tiên rights check nhưng vẫn nghiên cứu Vietnam fit song song</w:t>
            </w:r>
          </w:p>
        </w:tc>
        <w:tc>
          <w:tcPr>
            <w:tcW w:type="dxa" w:w="4147"/>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Decision Brief phiên bản 1 và danh sách targeted validations</w:t>
            </w:r>
          </w:p>
        </w:tc>
      </w:tr>
      <w:tr>
        <w:tc>
          <w:tcPr>
            <w:tcW w:type="dxa" w:w="1008"/>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Day 3</w:t>
            </w:r>
          </w:p>
        </w:tc>
        <w:tc>
          <w:tcPr>
            <w:tcW w:type="dxa" w:w="558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Publishing hoặc Strategy reviewer kiểm tra claim trọng yếu, quyết định hoặc override; chạy test lỗi; sửa luồng</w:t>
            </w:r>
          </w:p>
        </w:tc>
        <w:tc>
          <w:tcPr>
            <w:tcW w:type="dxa" w:w="4147"/>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Brief cuối, Decision Log, kết quả đánh giá và backlog</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Chủ động chưa làm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227"/>
        <w:gridCol w:w="5227"/>
      </w:tblGrid>
      <w:tr>
        <w:trPr>
          <w:tblHeader w:val="true"/>
        </w:trPr>
        <w:tc>
          <w:tcPr>
            <w:tcW w:type="dxa" w:w="3672"/>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Chưa làm</w:t>
            </w:r>
          </w:p>
        </w:tc>
        <w:tc>
          <w:tcPr>
            <w:tcW w:type="dxa" w:w="7070"/>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6"/>
              </w:rPr>
              <w:t>Vì sao</w:t>
            </w:r>
          </w:p>
        </w:tc>
      </w:tr>
      <w:tr>
        <w:tc>
          <w:tcPr>
            <w:tcW w:type="dxa" w:w="3672"/>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Xếp hạng nhiều game và trọng số</w:t>
            </w:r>
          </w:p>
        </w:tc>
        <w:tc>
          <w:tcPr>
            <w:tcW w:type="dxa" w:w="707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Chưa có dữ liệu hiệu chỉnh; dễ tạo cảm giác khách quan giả</w:t>
            </w:r>
          </w:p>
        </w:tc>
      </w:tr>
      <w:tr>
        <w:tc>
          <w:tcPr>
            <w:tcW w:type="dxa" w:w="3672"/>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Dự báo doanh thu hoặc xác suất thành công</w:t>
            </w:r>
          </w:p>
        </w:tc>
        <w:tc>
          <w:tcPr>
            <w:tcW w:type="dxa" w:w="7070"/>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Một case không đủ để kiểm chứng; cần dữ liệu lịch sử và outcome rõ</w:t>
            </w:r>
          </w:p>
        </w:tc>
      </w:tr>
      <w:tr>
        <w:tc>
          <w:tcPr>
            <w:tcW w:type="dxa" w:w="3672"/>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Tự động ra quyết định cuối</w:t>
            </w:r>
          </w:p>
        </w:tc>
        <w:tc>
          <w:tcPr>
            <w:tcW w:type="dxa" w:w="707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AI thiếu ngân sách, chiến lược, năng lực và thông tin đàm phán nội bộ</w:t>
            </w:r>
          </w:p>
        </w:tc>
      </w:tr>
      <w:tr>
        <w:tc>
          <w:tcPr>
            <w:tcW w:type="dxa" w:w="3672"/>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Crawler, monitoring và giao diện production</w:t>
            </w:r>
          </w:p>
        </w:tc>
        <w:tc>
          <w:tcPr>
            <w:tcW w:type="dxa" w:w="7070"/>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6"/>
              </w:rPr>
              <w:t>Không cần để kiểm tra logic cốt lõi trong ba ngày</w:t>
            </w:r>
          </w:p>
        </w:tc>
      </w:tr>
      <w:tr>
        <w:tc>
          <w:tcPr>
            <w:tcW w:type="dxa" w:w="3672"/>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Tích hợp paid data hoặc dữ liệu nội bộ</w:t>
            </w:r>
          </w:p>
        </w:tc>
        <w:tc>
          <w:tcPr>
            <w:tcW w:type="dxa" w:w="707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6"/>
              </w:rPr>
              <w:t>Phụ thuộc quyền truy cập; có thể bổ sung sau khi chứng minh workflow</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Phương pháp đánh giá</w:t>
      </w:r>
    </w:p>
    <w:p>
      <w:pPr>
        <w:spacing w:after="50" w:line="259" w:lineRule="auto"/>
      </w:pPr>
      <w:r>
        <w:rPr>
          <w:rFonts w:ascii="Liberation Sans" w:hAnsi="Liberation Sans" w:eastAsia="Liberation Sans"/>
          <w:color w:val="111827"/>
          <w:sz w:val="19"/>
        </w:rPr>
        <w:t>MVP được đánh giá bằng task và audit, không bằng lời khẳng định rằng AI nghiên cứu tốt hơn.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85"/>
        <w:gridCol w:w="3485"/>
        <w:gridCol w:w="3485"/>
      </w:tblGrid>
      <w:tr>
        <w:trPr>
          <w:tblHeader w:val="true"/>
        </w:trPr>
        <w:tc>
          <w:tcPr>
            <w:tcW w:type="dxa" w:w="302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Câu hỏi đánh giá</w:t>
            </w:r>
          </w:p>
        </w:tc>
        <w:tc>
          <w:tcPr>
            <w:tcW w:type="dxa" w:w="4810"/>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Cách đo trong MVP</w:t>
            </w:r>
          </w:p>
        </w:tc>
        <w:tc>
          <w:tcPr>
            <w:tcW w:type="dxa" w:w="2909"/>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Tiêu chí qua</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Claim có truy được về nguồn không</w:t>
            </w:r>
          </w:p>
        </w:tc>
        <w:tc>
          <w:tcPr>
            <w:tcW w:type="dxa" w:w="481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Audit toàn bộ claim ảnh hưởng khuyến nghị</w:t>
            </w:r>
          </w:p>
        </w:tc>
        <w:tc>
          <w:tcPr>
            <w:tcW w:type="dxa" w:w="2909"/>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100 phần trăm có source metadata hoặc được gắn unknown inference</w:t>
            </w:r>
          </w:p>
        </w:tc>
      </w:tr>
      <w:tr>
        <w:tc>
          <w:tcPr>
            <w:tcW w:type="dxa" w:w="30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Hệ thống có xử lý đúng mâu thuẫn không</w:t>
            </w:r>
          </w:p>
        </w:tc>
        <w:tc>
          <w:tcPr>
            <w:tcW w:type="dxa" w:w="4810"/>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Đưa vào các cặp khác scope, time, method và một xung đột thực</w:t>
            </w:r>
          </w:p>
        </w:tc>
        <w:tc>
          <w:tcPr>
            <w:tcW w:type="dxa" w:w="2909"/>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Không trộn chỉ số; tạo Conflict Card khi cần</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Khuyến nghị có ổn định không</w:t>
            </w:r>
          </w:p>
        </w:tc>
        <w:tc>
          <w:tcPr>
            <w:tcW w:type="dxa" w:w="481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Chạy lại cùng evidence set và gate</w:t>
            </w:r>
          </w:p>
        </w:tc>
        <w:tc>
          <w:tcPr>
            <w:tcW w:type="dxa" w:w="2909"/>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Cùng status; khác biệt diễn giải không đổi logic</w:t>
            </w:r>
          </w:p>
        </w:tc>
      </w:tr>
      <w:tr>
        <w:tc>
          <w:tcPr>
            <w:tcW w:type="dxa" w:w="302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Brief có giúp ra quyết định không</w:t>
            </w:r>
          </w:p>
        </w:tc>
        <w:tc>
          <w:tcPr>
            <w:tcW w:type="dxa" w:w="4810"/>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Reviewer tìm status, bằng chứng, unknown và next action</w:t>
            </w:r>
          </w:p>
        </w:tc>
        <w:tc>
          <w:tcPr>
            <w:tcW w:type="dxa" w:w="2909"/>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Hoàn thành task mà không phải đọc lại toàn bộ nguồn</w:t>
            </w:r>
          </w:p>
        </w:tc>
      </w:tr>
      <w:tr>
        <w:tc>
          <w:tcPr>
            <w:tcW w:type="dxa" w:w="302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Có tiết kiệm công sức không</w:t>
            </w:r>
          </w:p>
        </w:tc>
        <w:tc>
          <w:tcPr>
            <w:tcW w:type="dxa" w:w="4810"/>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So thời gian tạo và review brief với cách làm thủ công trên cùng case</w:t>
            </w:r>
          </w:p>
        </w:tc>
        <w:tc>
          <w:tcPr>
            <w:tcW w:type="dxa" w:w="2909"/>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Ghi số đo thực tế; chưa tuyên bố kết quả trước test</w:t>
            </w:r>
          </w:p>
        </w:tc>
      </w:tr>
    </w:tbl>
    <w:p>
      <w:pPr>
        <w:spacing w:after="0" w:before="0" w:line="48" w:lineRule="auto"/>
      </w:pPr>
    </w:p>
    <w:p>
      <w:pPr>
        <w:spacing w:after="0" w:line="259" w:lineRule="auto"/>
      </w:pPr>
      <w:r>
        <w:rPr>
          <w:rFonts w:ascii="Liberation Sans" w:hAnsi="Liberation Sans" w:eastAsia="Liberation Sans"/>
          <w:color w:val="111827"/>
          <w:sz w:val="18"/>
        </w:rPr>
        <w:t>Kết quả của một case chỉ cho biết workflow có vận hành và tạo đầu ra hữu ích hay không. Muốn đánh giá độ chính xác của khuyến nghị, cần nhiều case quá khứ, outcome đã biết và rubric được chấm độc lập.</w:t>
      </w:r>
    </w:p>
    <w:p>
      <w:r>
        <w:br w:type="page"/>
      </w:r>
    </w:p>
    <w:p>
      <w:pPr>
        <w:pStyle w:val="Heading1"/>
        <w:keepNext/>
        <w:spacing w:before="80" w:after="60"/>
      </w:pPr>
      <w:r>
        <w:rPr>
          <w:rFonts w:ascii="Liberation Sans" w:hAnsi="Liberation Sans" w:eastAsia="Liberation Sans"/>
          <w:b/>
          <w:color w:val="000000"/>
          <w:sz w:val="28"/>
        </w:rPr>
        <w:t>5 Kiểm chứng bằng case MABINOGI MOBILE</w:t>
      </w:r>
    </w:p>
    <w:p>
      <w:pPr>
        <w:spacing w:after="68" w:line="259" w:lineRule="auto"/>
      </w:pPr>
      <w:r>
        <w:rPr>
          <w:rFonts w:ascii="Liberation Sans" w:hAnsi="Liberation Sans" w:eastAsia="Liberation Sans"/>
          <w:color w:val="111827"/>
          <w:sz w:val="19"/>
        </w:rPr>
        <w:t>MABINOGI MOBILE được người nộp chọn sau khi xem shortlist do AI đề xuất. Case này có đủ nguồn để kiểm tra provenance, đồng thời có các tín hiệu dễ bị hiểu sai nếu chỉ nhìn vài con số. Nó là ví dụ kiểm chứng thiết kế, không phải toàn bộ phạm vi sản phẩm.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85"/>
        <w:gridCol w:w="3485"/>
        <w:gridCol w:w="3485"/>
      </w:tblGrid>
      <w:tr>
        <w:trPr>
          <w:tblHeader w:val="true"/>
        </w:trPr>
        <w:tc>
          <w:tcPr>
            <w:tcW w:type="dxa" w:w="338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Điều đã biết</w:t>
            </w:r>
          </w:p>
        </w:tc>
        <w:tc>
          <w:tcPr>
            <w:tcW w:type="dxa" w:w="410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Diễn giải an toàn</w:t>
            </w:r>
          </w:p>
        </w:tc>
        <w:tc>
          <w:tcPr>
            <w:tcW w:type="dxa" w:w="3254"/>
            <w:vAlign w:val="center"/>
            <w:tcMar>
              <w:top w:w="70" w:type="dxa"/>
              <w:start w:w="80" w:type="dxa"/>
              <w:bottom w:w="70" w:type="dxa"/>
              <w:end w:w="80" w:type="dxa"/>
            </w:tcMar>
            <w:shd w:fill="17365D"/>
          </w:tcPr>
          <w:p>
            <w:pPr>
              <w:spacing w:before="0" w:after="0" w:line="252" w:lineRule="auto"/>
              <w:jc w:val="center"/>
            </w:pPr>
            <w:r>
              <w:rPr>
                <w:rFonts w:ascii="Liberation Sans" w:hAnsi="Liberation Sans" w:eastAsia="Liberation Sans"/>
                <w:b/>
                <w:color w:val="FFFFFF"/>
                <w:sz w:val="15"/>
              </w:rPr>
              <w:t>Điều còn thiếu</w:t>
            </w:r>
          </w:p>
        </w:tc>
      </w:tr>
      <w:tr>
        <w:tc>
          <w:tcPr>
            <w:tcW w:type="dxa" w:w="338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Nexon báo cáo launch Hàn Quốc vượt kỳ vọng và đạt thứ hạng grossing cao trong launch window [2]</w:t>
            </w:r>
          </w:p>
        </w:tc>
        <w:tc>
          <w:tcPr>
            <w:tcW w:type="dxa" w:w="410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Bằng chứng commercial launch mạnh; chưa chứng minh retention hay Vietnam fit</w:t>
            </w:r>
          </w:p>
        </w:tc>
        <w:tc>
          <w:tcPr>
            <w:tcW w:type="dxa" w:w="325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KPI title level và dữ liệu dài hạn có thể so sánh</w:t>
            </w:r>
          </w:p>
        </w:tc>
      </w:tr>
      <w:tr>
        <w:tc>
          <w:tcPr>
            <w:tcW w:type="dxa" w:w="338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Sensor Tower ước tính hơn 1 triệu download và khoảng 30 triệu USD sau gần 50 ngày [3]</w:t>
            </w:r>
          </w:p>
        </w:tc>
        <w:tc>
          <w:tcPr>
            <w:tcW w:type="dxa" w:w="410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Estimate từ App Store và Google Play; không phải doanh thu kế toán</w:t>
            </w:r>
          </w:p>
        </w:tc>
        <w:tc>
          <w:tcPr>
            <w:tcW w:type="dxa" w:w="325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Đối chiếu với dữ liệu chủ sở hữu hoặc kênh khác</w:t>
            </w:r>
          </w:p>
        </w:tc>
      </w:tr>
      <w:tr>
        <w:tc>
          <w:tcPr>
            <w:tcW w:type="dxa" w:w="338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Nexon ghi nhận KPI ổn định sau update, đồng thời dự kiến normalization sau launch [4][5]</w:t>
            </w:r>
          </w:p>
        </w:tc>
        <w:tc>
          <w:tcPr>
            <w:tcW w:type="dxa" w:w="410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Có tension theo thời gian giữa launch và sustainability; decline so với launch base không tự động là thất bại</w:t>
            </w:r>
          </w:p>
        </w:tc>
        <w:tc>
          <w:tcPr>
            <w:tcW w:type="dxa" w:w="325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Retention, cohort và economics theo thị trường</w:t>
            </w:r>
          </w:p>
        </w:tc>
      </w:tr>
      <w:tr>
        <w:tc>
          <w:tcPr>
            <w:tcW w:type="dxa" w:w="338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Storefront Hàn Quốc có rating thấp và review nêu nhiều loại vấn đề [6][7]</w:t>
            </w:r>
          </w:p>
        </w:tc>
        <w:tc>
          <w:tcPr>
            <w:tcW w:type="dxa" w:w="410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Rating và doanh thu đo outcome khác nhau; review mẫu không đại diện toàn population</w:t>
            </w:r>
          </w:p>
        </w:tc>
        <w:tc>
          <w:tcPr>
            <w:tcW w:type="dxa" w:w="3254"/>
            <w:vAlign w:val="center"/>
            <w:tcMar>
              <w:top w:w="70" w:type="dxa"/>
              <w:start w:w="80" w:type="dxa"/>
              <w:bottom w:w="70" w:type="dxa"/>
              <w:end w:w="80" w:type="dxa"/>
            </w:tcMar>
            <w:shd w:fill="F5F8FB"/>
          </w:tcPr>
          <w:p>
            <w:pPr>
              <w:spacing w:before="0" w:after="0" w:line="252" w:lineRule="auto"/>
              <w:jc w:val="left"/>
            </w:pPr>
            <w:r>
              <w:rPr>
                <w:rFonts w:ascii="Liberation Sans" w:hAnsi="Liberation Sans" w:eastAsia="Liberation Sans"/>
                <w:b w:val="0"/>
                <w:color w:val="111827"/>
                <w:sz w:val="15"/>
              </w:rPr>
              <w:t>Coding review theo thời kỳ, nền tảng và chủ đề</w:t>
            </w:r>
          </w:p>
        </w:tc>
      </w:tr>
      <w:tr>
        <w:tc>
          <w:tcPr>
            <w:tcW w:type="dxa" w:w="338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Gamota có năng lực publishing và co publishing công khai [8]</w:t>
            </w:r>
          </w:p>
        </w:tc>
        <w:tc>
          <w:tcPr>
            <w:tcW w:type="dxa" w:w="410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Cho thấy khả năng tổ chức chung, không chứng minh quyền hoặc ưu tiên nội bộ cho game này</w:t>
            </w:r>
          </w:p>
        </w:tc>
        <w:tc>
          <w:tcPr>
            <w:tcW w:type="dxa" w:w="3254"/>
            <w:vAlign w:val="center"/>
            <w:tcMar>
              <w:top w:w="70" w:type="dxa"/>
              <w:start w:w="80" w:type="dxa"/>
              <w:bottom w:w="70" w:type="dxa"/>
              <w:end w:w="80" w:type="dxa"/>
            </w:tcMar>
            <w:shd w:fill="FFFFFF"/>
          </w:tcPr>
          <w:p>
            <w:pPr>
              <w:spacing w:before="0" w:after="0" w:line="252" w:lineRule="auto"/>
              <w:jc w:val="left"/>
            </w:pPr>
            <w:r>
              <w:rPr>
                <w:rFonts w:ascii="Liberation Sans" w:hAnsi="Liberation Sans" w:eastAsia="Liberation Sans"/>
                <w:b w:val="0"/>
                <w:color w:val="111827"/>
                <w:sz w:val="15"/>
              </w:rPr>
              <w:t>Xác nhận territory, willingness của Nexon và feasibility nội bộ</w:t>
            </w:r>
          </w:p>
        </w:tc>
      </w:tr>
    </w:tbl>
    <w:p>
      <w:pPr>
        <w:spacing w:after="0" w:before="0" w:line="48" w:lineRule="auto"/>
      </w:pPr>
    </w:p>
    <w:p>
      <w:pPr>
        <w:pStyle w:val="Heading2"/>
        <w:keepNext/>
        <w:spacing w:before="50" w:after="40"/>
      </w:pPr>
      <w:r>
        <w:rPr>
          <w:rFonts w:ascii="Liberation Sans" w:hAnsi="Liberation Sans" w:eastAsia="Liberation Sans"/>
          <w:b/>
          <w:color w:val="000000"/>
          <w:sz w:val="21"/>
        </w:rPr>
        <w:t>Khuyến nghị sơ bộ</w:t>
      </w:r>
    </w:p>
    <w:p>
      <w:pPr>
        <w:spacing w:after="68" w:line="259" w:lineRule="auto"/>
      </w:pPr>
      <w:r>
        <w:rPr>
          <w:rFonts w:ascii="Liberation Sans" w:hAnsi="Liberation Sans" w:eastAsia="Liberation Sans"/>
          <w:color w:val="111827"/>
          <w:sz w:val="19"/>
        </w:rPr>
        <w:t>Tạm giữ với targeted validation. Bằng chứng hiện tại đủ để nói game có launch strength tại Hàn Quốc, nhưng chưa đủ để mở full diligence hoặc dừng. Hai khoảng trống có thể đảo chiều quyết định là nhu cầu cụ thể tại Việt Nam và khả năng Gamota tham gia phát hành. Rights check được ưu tiên vì có thể trở thành hard blocker, nhưng việc chưa nhận phản hồi từ Nexon không được diễn giải là không có cơ hội. Phân tích Vietnam fit vẫn tiếp tục song song bằng dữ liệu công khai.</w:t>
      </w:r>
    </w:p>
    <w:p>
      <w:pPr>
        <w:pStyle w:val="Heading2"/>
        <w:keepNext/>
        <w:spacing w:before="50" w:after="40"/>
      </w:pPr>
      <w:r>
        <w:rPr>
          <w:rFonts w:ascii="Liberation Sans" w:hAnsi="Liberation Sans" w:eastAsia="Liberation Sans"/>
          <w:b/>
          <w:color w:val="000000"/>
          <w:sz w:val="21"/>
        </w:rPr>
        <w:t>Điểm tái quyết định</w:t>
      </w:r>
    </w:p>
    <w:p>
      <w:pPr>
        <w:spacing w:after="68" w:line="259" w:lineRule="auto"/>
      </w:pPr>
      <w:r>
        <w:rPr>
          <w:rFonts w:ascii="Liberation Sans" w:hAnsi="Liberation Sans" w:eastAsia="Liberation Sans"/>
          <w:color w:val="111827"/>
          <w:sz w:val="19"/>
        </w:rPr>
        <w:t>Trong MVP, Day 2 là thời điểm xem lại và Hold chỉ được gia hạn một lần với lý do cùng bước kiểm chứng mới. Đây là quy tắc thử nghiệm để tránh chờ vô thời hạn, không phải chính sách cố định của Gamota. Trong thực tế, timebox phải phụ thuộc loại thông tin và khả năng tiếp cận nguồn.</w:t>
      </w:r>
    </w:p>
    <w:p>
      <w:pPr>
        <w:pStyle w:val="Heading2"/>
        <w:keepNext/>
        <w:spacing w:before="50" w:after="40"/>
      </w:pPr>
      <w:r>
        <w:rPr>
          <w:rFonts w:ascii="Liberation Sans" w:hAnsi="Liberation Sans" w:eastAsia="Liberation Sans"/>
          <w:b/>
          <w:color w:val="000000"/>
          <w:sz w:val="21"/>
        </w:rPr>
        <w:t>Kết luận</w:t>
      </w:r>
    </w:p>
    <w:p>
      <w:pPr>
        <w:spacing w:after="68" w:line="259" w:lineRule="auto"/>
      </w:pPr>
      <w:r>
        <w:rPr>
          <w:rFonts w:ascii="Liberation Sans" w:hAnsi="Liberation Sans" w:eastAsia="Liberation Sans"/>
          <w:color w:val="111827"/>
          <w:sz w:val="19"/>
        </w:rPr>
        <w:t>Giá trị của sản phẩm nằm ở kỷ luật ra quyết định: AI làm nhanh phần tìm, trích và đối chiếu; dữ liệu giữ provenance và giới hạn; con người chịu trách nhiệm cho gate và quyết định cuối. MVP ba ngày tập trung chứng minh khả năng truy vết, xử lý mâu thuẫn và tạo next action. Nếu workflow vượt qua các audit trên một case, bước tiếp theo mới là mở rộng số case, kết nối dữ liệu nội bộ và hiệu chỉnh rubric bằng outcome thực tế.</w:t>
      </w:r>
    </w:p>
    <w:p>
      <w:pPr>
        <w:pStyle w:val="Heading2"/>
        <w:keepNext/>
        <w:spacing w:before="50" w:after="40"/>
      </w:pPr>
      <w:r>
        <w:rPr>
          <w:rFonts w:ascii="Liberation Sans" w:hAnsi="Liberation Sans" w:eastAsia="Liberation Sans"/>
          <w:b/>
          <w:color w:val="000000"/>
          <w:sz w:val="21"/>
        </w:rPr>
        <w:t>Nguồn</w:t>
      </w:r>
    </w:p>
    <w:p>
      <w:pPr>
        <w:spacing w:after="10" w:line="228" w:lineRule="auto"/>
      </w:pPr>
      <w:hyperlink r:id="rId10">
        <w:r>
          <w:rPr>
            <w:color w:val="1A5A96"/>
            <w:u w:val="single"/>
            <w:rFonts w:ascii="Liberation Sans" w:hAnsi="Liberation Sans" w:eastAsia="Liberation Sans"/>
            <w:sz w:val="16"/>
          </w:rPr>
          <w:t>[1] Gamota Vietnam Mobile Gaming Year in Review 2025 summary</w:t>
        </w:r>
      </w:hyperlink>
    </w:p>
    <w:p>
      <w:pPr>
        <w:spacing w:after="10" w:line="228" w:lineRule="auto"/>
      </w:pPr>
      <w:hyperlink r:id="rId11">
        <w:r>
          <w:rPr>
            <w:color w:val="1A5A96"/>
            <w:u w:val="single"/>
            <w:rFonts w:ascii="Liberation Sans" w:hAnsi="Liberation Sans" w:eastAsia="Liberation Sans"/>
            <w:sz w:val="16"/>
          </w:rPr>
          <w:t>[2] Nexon Q1 2025 Earnings Letter</w:t>
        </w:r>
      </w:hyperlink>
    </w:p>
    <w:p>
      <w:pPr>
        <w:spacing w:after="10" w:line="228" w:lineRule="auto"/>
      </w:pPr>
      <w:hyperlink r:id="rId12">
        <w:r>
          <w:rPr>
            <w:color w:val="1A5A96"/>
            <w:u w:val="single"/>
            <w:rFonts w:ascii="Liberation Sans" w:hAnsi="Liberation Sans" w:eastAsia="Liberation Sans"/>
            <w:sz w:val="16"/>
          </w:rPr>
          <w:t>[3] Sensor Tower MABINOGI MOBILE analysis May 2025</w:t>
        </w:r>
      </w:hyperlink>
    </w:p>
    <w:p>
      <w:pPr>
        <w:spacing w:after="10" w:line="228" w:lineRule="auto"/>
      </w:pPr>
      <w:hyperlink r:id="rId13">
        <w:r>
          <w:rPr>
            <w:color w:val="1A5A96"/>
            <w:u w:val="single"/>
            <w:rFonts w:ascii="Liberation Sans" w:hAnsi="Liberation Sans" w:eastAsia="Liberation Sans"/>
            <w:sz w:val="16"/>
          </w:rPr>
          <w:t>[4] Nexon Q1 2026 Earnings Letter</w:t>
        </w:r>
      </w:hyperlink>
    </w:p>
    <w:p>
      <w:pPr>
        <w:spacing w:after="10" w:line="228" w:lineRule="auto"/>
      </w:pPr>
      <w:hyperlink r:id="rId14">
        <w:r>
          <w:rPr>
            <w:color w:val="1A5A96"/>
            <w:u w:val="single"/>
            <w:rFonts w:ascii="Liberation Sans" w:hAnsi="Liberation Sans" w:eastAsia="Liberation Sans"/>
            <w:sz w:val="16"/>
          </w:rPr>
          <w:t>[5] Nexon Capital Markets Briefing 2026</w:t>
        </w:r>
      </w:hyperlink>
    </w:p>
    <w:p>
      <w:pPr>
        <w:spacing w:after="10" w:line="228" w:lineRule="auto"/>
      </w:pPr>
      <w:hyperlink r:id="rId15">
        <w:r>
          <w:rPr>
            <w:color w:val="1A5A96"/>
            <w:u w:val="single"/>
            <w:rFonts w:ascii="Liberation Sans" w:hAnsi="Liberation Sans" w:eastAsia="Liberation Sans"/>
            <w:sz w:val="16"/>
          </w:rPr>
          <w:t>[6] Google Play Korea listing snapshot</w:t>
        </w:r>
      </w:hyperlink>
    </w:p>
    <w:p>
      <w:pPr>
        <w:spacing w:after="10" w:line="228" w:lineRule="auto"/>
      </w:pPr>
      <w:hyperlink r:id="rId16">
        <w:r>
          <w:rPr>
            <w:color w:val="1A5A96"/>
            <w:u w:val="single"/>
            <w:rFonts w:ascii="Liberation Sans" w:hAnsi="Liberation Sans" w:eastAsia="Liberation Sans"/>
            <w:sz w:val="16"/>
          </w:rPr>
          <w:t>[7] Apple App Store Korea reviews snapshot</w:t>
        </w:r>
      </w:hyperlink>
    </w:p>
    <w:p>
      <w:pPr>
        <w:spacing w:after="10" w:line="228" w:lineRule="auto"/>
      </w:pPr>
      <w:hyperlink r:id="rId17">
        <w:r>
          <w:rPr>
            <w:color w:val="1A5A96"/>
            <w:u w:val="single"/>
            <w:rFonts w:ascii="Liberation Sans" w:hAnsi="Liberation Sans" w:eastAsia="Liberation Sans"/>
            <w:sz w:val="16"/>
          </w:rPr>
          <w:t>[8] Gamota Publishing Model</w:t>
        </w:r>
      </w:hyperlink>
    </w:p>
    <w:sectPr w:rsidR="00FC693F" w:rsidRPr="0006063C" w:rsidSect="00034616">
      <w:footerReference w:type="default" r:id="rId9"/>
      <w:pgSz w:w="12240" w:h="15840"/>
      <w:pgMar w:top="749" w:right="893" w:bottom="691"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4B5563"/>
        <w:sz w:val="16"/>
      </w:rPr>
      <w:t xml:space="preserve">Mission 1   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59" w:lineRule="auto"/>
    </w:pPr>
    <w:rPr>
      <w:rFonts w:ascii="Liberation Sans" w:hAnsi="Liberation Sans" w:eastAsia="Liberation San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Liberation Sans" w:hAnsi="Liberation Sans" w:eastAsia="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50" w:after="40"/>
      <w:outlineLvl w:val="1"/>
    </w:pPr>
    <w:rPr>
      <w:rFonts w:asciiTheme="majorHAnsi" w:eastAsiaTheme="majorEastAsia" w:hAnsiTheme="majorHAnsi" w:cstheme="majorBidi" w:ascii="Liberation Sans" w:hAnsi="Liberation Sans" w:eastAsia="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Liberation Sans" w:hAnsi="Liberation Sans" w:eastAsia="Liberation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amota.com/en_GB/gamota-lab/understanding-the-market-to-optimize-game-publishing-strategies-gamota-introduces-the-report-vietnam-mobile-gaming-year-in-review-2025/" TargetMode="External"/><Relationship Id="rId11" Type="http://schemas.openxmlformats.org/officeDocument/2006/relationships/hyperlink" Target="https://pdf.irpocket.com/C3659/vAfC/Bwkm/njVR.pdf" TargetMode="External"/><Relationship Id="rId12" Type="http://schemas.openxmlformats.org/officeDocument/2006/relationships/hyperlink" Target="https://sensortower.com/ko/blog/Mabinogi-Mobile-achieves-cumulative-revenue-of-30-million" TargetMode="External"/><Relationship Id="rId13" Type="http://schemas.openxmlformats.org/officeDocument/2006/relationships/hyperlink" Target="https://pdf.irpocket.com/C3659/WUpy/ecSw/IVuJ.pdf" TargetMode="External"/><Relationship Id="rId14" Type="http://schemas.openxmlformats.org/officeDocument/2006/relationships/hyperlink" Target="https://www.nexon.co.jp/en/ir/uploads/CMB%202026%20Presentation%20Slides%20with%20Speech%20Script.pdf" TargetMode="External"/><Relationship Id="rId15" Type="http://schemas.openxmlformats.org/officeDocument/2006/relationships/hyperlink" Target="https://play.google.com/store/apps/details?gl=kr&amp;id=com.nexon.devcat.mm" TargetMode="External"/><Relationship Id="rId16" Type="http://schemas.openxmlformats.org/officeDocument/2006/relationships/hyperlink" Target="https://apps.apple.com/kr/app/%EB%A7%88%EB%B9%84%EB%85%B8%EA%B8%B0-%EB%AA%A8%EB%B0%94%EC%9D%BC/id1441742921?platform=iphone&amp;see-all=reviews" TargetMode="External"/><Relationship Id="rId17" Type="http://schemas.openxmlformats.org/officeDocument/2006/relationships/hyperlink" Target="https://gamota.com/en_GB/services/publishing-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Market Intelligence cho sàng lọc cơ hội phát hành</dc:title>
  <dc:subject>NextGen Gamota Mission 1 Bài test A</dc:subject>
  <dc:creator/>
  <cp:keywords>Game Market Intelligence, evidence, publishing, MVP</cp:keywords>
  <dc:description>generated by python-docx</dc:description>
  <cp:lastModifiedBy/>
  <cp:revision>1</cp:revision>
  <dcterms:created xsi:type="dcterms:W3CDTF">2013-12-23T23:15:00Z</dcterms:created>
  <dcterms:modified xsi:type="dcterms:W3CDTF">2013-12-23T23:15:00Z</dcterms:modified>
  <cp:category/>
</cp:coreProperties>
</file>