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25th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Biomarker evaluation and discovery, Applications engineering, Scientific data modeling and architecture, Pediatric drug safety, interpretable machine learning, fairness and equity in biomedical informatics</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Manage execution of data architecture and software development projects in precision medicine innovation development portfolio.</w:t>
      </w:r>
    </w:p>
    <w:p>
      <w:pPr>
        <w:numPr>
          <w:ilvl w:val="0"/>
          <w:numId w:val="1001"/>
        </w:numPr>
        <w:pStyle w:val="Compact"/>
      </w:pPr>
      <w:r>
        <w:t xml:space="preserve">Develop and maintain 6+ software packages and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posit::conf(2024)</w:t>
        </w:r>
      </w:hyperlink>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2024-08-25T19:52:19Z</dcterms:created>
  <dcterms:modified xsi:type="dcterms:W3CDTF">2024-08-25T19:52:19Z</dcterms:modified>
</cp:coreProperties>
</file>

<file path=docProps/custom.xml><?xml version="1.0" encoding="utf-8"?>
<Properties xmlns="http://schemas.openxmlformats.org/officeDocument/2006/custom-properties" xmlns:vt="http://schemas.openxmlformats.org/officeDocument/2006/docPropsVTypes"/>
</file>