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TÀI LIỆU ĐẶC TẢ YÊU CẦU PHẦN MỀM</w:t>
      </w:r>
    </w:p>
    <w:p>
      <w:pPr>
        <w:jc w:val="center"/>
      </w:pPr>
      <w:r>
        <w:rPr>
          <w:b/>
          <w:color w:val="0070C0"/>
          <w:sz w:val="28"/>
        </w:rPr>
        <w:t>SRS – TÍNH NĂNG HOÀN TIỀN | PAYKX</w:t>
      </w:r>
    </w:p>
    <w:p>
      <w:pPr>
        <w:spacing w:after="60"/>
      </w:pPr>
      <w:r>
        <w:t>Phiên bản: 1.0  |  Ngày: 27/10/2026  |  Trạng thái: Bản mô phỏng phục vụ học tập</w:t>
      </w:r>
    </w:p>
    <w:p>
      <w:pPr>
        <w:spacing w:after="60"/>
      </w:pPr>
      <w:r>
        <w:t>Mục đích: mô tả yêu cầu nghiệp vụ, chức năng, dữ liệu và tiêu chí nghiệm thu cho tính năng hoàn tiền của ví điện tử PayKX dành cho sinh viên.</w:t>
      </w:r>
    </w:p>
    <w:p>
      <w:pPr>
        <w:pStyle w:val="Heading1"/>
      </w:pPr>
      <w:r>
        <w:t>1. Tổng quan tài liệu</w:t>
      </w:r>
    </w:p>
    <w:p>
      <w:pPr>
        <w:pStyle w:val="Heading2"/>
      </w:pPr>
      <w:r>
        <w:t>1.1 Mục tiêu và phạm vi</w:t>
      </w:r>
    </w:p>
    <w:p>
      <w:pPr>
        <w:spacing w:after="60"/>
      </w:pPr>
      <w:r>
        <w:t>PayKX cho phép sinh viên thanh toán các dịch vụ số và nhận hoàn tiền theo chương trình khuyến mại. Tài liệu này quy định cách hệ thống xác định giao dịch đủ điều kiện, tính số tiền hoàn, ghi nhận trạng thái và thông báo kết quả. Đây là đặc tả mẫu; chính sách tỷ lệ và hạn mức phải được chủ sản phẩm phê duyệt trước khi triển khai thật.</w:t>
      </w:r>
    </w:p>
    <w:p>
      <w:pPr>
        <w:pStyle w:val="Heading2"/>
      </w:pPr>
      <w:r>
        <w:t>1.2 Đối tượng sử dụng</w:t>
      </w:r>
    </w:p>
    <w:p>
      <w:pPr>
        <w:spacing w:after="60"/>
      </w:pPr>
      <w:r>
        <w:t>Đối tượng đọc gồm chủ sản phẩm, nhóm phát triển, kiểm thử, vận hành, bộ phận tài chính và đối tác ngân hàng. Thuật ngữ chính: giao dịch gốc là khoản thanh toán đã thành công; hoàn tiền là khoản ghi có lại ví; đối soát là so sánh dữ liệu PayKX với dữ liệu đối tác.</w:t>
      </w:r>
    </w:p>
    <w:p>
      <w:pPr>
        <w:pStyle w:val="Heading1"/>
      </w:pPr>
      <w:r>
        <w:t>2. Mục lục</w:t>
      </w:r>
    </w:p>
    <w:p>
      <w:fldSimple w:instr="TOC \o &quot;1-2&quot; \h \z \u"/>
    </w:p>
    <w:p>
      <w:pPr>
        <w:spacing w:after="60"/>
      </w:pPr>
      <w:r>
        <w:t>Lưu ý: nếu mục lục chưa hiển thị trong Word, nhấn Ctrl+A rồi F9 để cập nhật trường tự động.</w:t>
      </w:r>
    </w:p>
    <w:p>
      <w:r>
        <w:br w:type="page"/>
      </w:r>
    </w:p>
    <w:p>
      <w:pPr>
        <w:pStyle w:val="Heading1"/>
      </w:pPr>
      <w:r>
        <w:t>3. Mô tả tổng thể</w:t>
      </w:r>
    </w:p>
    <w:p>
      <w:pPr>
        <w:pStyle w:val="Heading2"/>
      </w:pPr>
      <w:r>
        <w:t>3.1 Bối cảnh nghiệp vụ</w:t>
      </w:r>
    </w:p>
    <w:p>
      <w:pPr>
        <w:spacing w:after="60"/>
      </w:pPr>
      <w:r>
        <w:t>Sinh viên thường thanh toán nạp điện thoại, mua vé hoặc dịch vụ học tập bằng ví điện tử. Hoàn tiền giúp tăng tần suất sử dụng nhưng cần kiểm soát ngân sách, giao dịch trùng và hành vi lợi dụng khuyến mại. Hệ thống chỉ hoàn cho giao dịch đã thành công, không bị hủy và đáp ứng điều kiện chiến dịch.</w:t>
      </w:r>
    </w:p>
    <w:p>
      <w:pPr>
        <w:pStyle w:val="Heading2"/>
      </w:pPr>
      <w:r>
        <w:t>3.2 Vai trò và quyền hạn</w:t>
      </w:r>
    </w:p>
    <w:tbl>
      <w:tblPr>
        <w:tblStyle w:val="TableGrid"/>
        <w:tblW w:type="auto" w:w="0"/>
        <w:tblLook w:firstColumn="1" w:firstRow="1" w:lastColumn="0" w:lastRow="0" w:noHBand="0" w:noVBand="1" w:val="04A0"/>
      </w:tblPr>
      <w:tblGrid>
        <w:gridCol w:w="4968"/>
        <w:gridCol w:w="4968"/>
      </w:tblGrid>
      <w:tr>
        <w:tc>
          <w:tcPr>
            <w:tcW w:type="dxa" w:w="4968"/>
            <w:shd w:fill="17365D"/>
          </w:tcPr>
          <w:p>
            <w:r>
              <w:rPr>
                <w:b/>
                <w:color w:val="FFFFFF"/>
                <w:sz w:val="16"/>
              </w:rPr>
              <w:t>Vai trò</w:t>
            </w:r>
          </w:p>
        </w:tc>
        <w:tc>
          <w:tcPr>
            <w:tcW w:type="dxa" w:w="4968"/>
            <w:shd w:fill="17365D"/>
          </w:tcPr>
          <w:p>
            <w:r>
              <w:rPr>
                <w:b/>
                <w:color w:val="FFFFFF"/>
                <w:sz w:val="16"/>
              </w:rPr>
              <w:t>Quyền / trách nhiệm</w:t>
            </w:r>
          </w:p>
        </w:tc>
      </w:tr>
      <w:tr>
        <w:tc>
          <w:tcPr>
            <w:tcW w:type="dxa" w:w="4968"/>
          </w:tcPr>
          <w:p>
            <w:r>
              <w:rPr>
                <w:sz w:val="16"/>
              </w:rPr>
              <w:t>Sinh viên</w:t>
            </w:r>
          </w:p>
        </w:tc>
        <w:tc>
          <w:tcPr>
            <w:tcW w:type="dxa" w:w="4968"/>
          </w:tcPr>
          <w:p>
            <w:r>
              <w:rPr>
                <w:sz w:val="16"/>
              </w:rPr>
              <w:t>Xem chương trình, thanh toán, xem trạng thái và lịch sử hoàn tiền.</w:t>
            </w:r>
          </w:p>
        </w:tc>
      </w:tr>
      <w:tr>
        <w:tc>
          <w:tcPr>
            <w:tcW w:type="dxa" w:w="4968"/>
          </w:tcPr>
          <w:p>
            <w:r>
              <w:rPr>
                <w:sz w:val="16"/>
              </w:rPr>
              <w:t>Dịch vụ giao dịch</w:t>
            </w:r>
          </w:p>
        </w:tc>
        <w:tc>
          <w:tcPr>
            <w:tcW w:type="dxa" w:w="4968"/>
          </w:tcPr>
          <w:p>
            <w:r>
              <w:rPr>
                <w:sz w:val="16"/>
              </w:rPr>
              <w:t>Gửi sự kiện thanh toán thành công và mã giao dịch duy nhất.</w:t>
            </w:r>
          </w:p>
        </w:tc>
      </w:tr>
      <w:tr>
        <w:tc>
          <w:tcPr>
            <w:tcW w:type="dxa" w:w="4968"/>
          </w:tcPr>
          <w:p>
            <w:r>
              <w:rPr>
                <w:sz w:val="16"/>
              </w:rPr>
              <w:t>Dịch vụ khuyến mại</w:t>
            </w:r>
          </w:p>
        </w:tc>
        <w:tc>
          <w:tcPr>
            <w:tcW w:type="dxa" w:w="4968"/>
          </w:tcPr>
          <w:p>
            <w:r>
              <w:rPr>
                <w:sz w:val="16"/>
              </w:rPr>
              <w:t>Kiểm tra điều kiện, tỷ lệ, hạn mức và ngân sách chiến dịch.</w:t>
            </w:r>
          </w:p>
        </w:tc>
      </w:tr>
      <w:tr>
        <w:tc>
          <w:tcPr>
            <w:tcW w:type="dxa" w:w="4968"/>
          </w:tcPr>
          <w:p>
            <w:r>
              <w:rPr>
                <w:sz w:val="16"/>
              </w:rPr>
              <w:t>Vận hành / tài chính</w:t>
            </w:r>
          </w:p>
        </w:tc>
        <w:tc>
          <w:tcPr>
            <w:tcW w:type="dxa" w:w="4968"/>
          </w:tcPr>
          <w:p>
            <w:r>
              <w:rPr>
                <w:sz w:val="16"/>
              </w:rPr>
              <w:t>Theo dõi lỗi, xử lý ngoại lệ và đối soát với đối tác.</w:t>
            </w:r>
          </w:p>
        </w:tc>
      </w:tr>
    </w:tbl>
    <w:p/>
    <w:p>
      <w:pPr>
        <w:pStyle w:val="Heading2"/>
      </w:pPr>
      <w:r>
        <w:t>3.3 Giả định và phụ thuộc</w:t>
      </w:r>
    </w:p>
    <w:p>
      <w:pPr>
        <w:spacing w:after="60"/>
      </w:pPr>
      <w:r>
        <w:t>Mỗi giao dịch có transaction_id duy nhất; dữ liệu thời gian lưu theo múi giờ Việt Nam; số tiền dùng đơn vị VND và kiểu số nguyên. Kết nối ngân hàng có thể chậm hoặc gửi lại sự kiện nên hệ thống phải xử lý lặp an toàn. Các ngưỡng hoàn tiền dưới đây là ví dụ minh họa, không phải cam kết thương mại.</w:t>
      </w:r>
    </w:p>
    <w:p>
      <w:pPr>
        <w:pStyle w:val="Heading1"/>
      </w:pPr>
      <w:r>
        <w:t>4. Yêu cầu chức năng</w:t>
      </w:r>
    </w:p>
    <w:p>
      <w:pPr>
        <w:pStyle w:val="Heading2"/>
      </w:pPr>
      <w:r>
        <w:t>4.1 FR-01 – Xác định giao dịch đủ điều kiện</w:t>
      </w:r>
    </w:p>
    <w:p>
      <w:pPr>
        <w:spacing w:after="60"/>
      </w:pPr>
      <w:r>
        <w:t>Hệ thống nhận giao dịch gốc và xác minh trạng thái SUCCESS, loại giao dịch thuộc danh sách áp dụng, tài khoản không bị khóa, thời điểm nằm trong thời gian chiến dịch và giao dịch chưa được hoàn trước đó.</w:t>
      </w:r>
    </w:p>
    <w:p>
      <w:pPr>
        <w:pStyle w:val="Heading2"/>
      </w:pPr>
      <w:r>
        <w:t>4.2 FR-02 – Tính số tiền hoàn</w:t>
      </w:r>
    </w:p>
    <w:p>
      <w:pPr>
        <w:spacing w:after="60"/>
      </w:pPr>
      <w:r>
        <w:t>Số tiền hoàn bằng giá trị giao dịch nhân tỷ lệ chiến dịch, sau đó làm tròn theo quy tắc tiền tệ và giới hạn bởi mức hoàn tối đa mỗi giao dịch. Số tiền hoàn không được âm hoặc lớn hơn số tiền giao dịch.</w:t>
      </w:r>
    </w:p>
    <w:p>
      <w:r>
        <w:br w:type="page"/>
      </w:r>
    </w:p>
    <w:p>
      <w:pPr>
        <w:pStyle w:val="Heading1"/>
      </w:pPr>
      <w:r>
        <w:t>4. Yêu cầu chức năng (tiếp)</w:t>
      </w:r>
    </w:p>
    <w:p>
      <w:pPr>
        <w:pStyle w:val="Heading2"/>
      </w:pPr>
      <w:r>
        <w:t>4.3 FR-03 – Ghi nhận và chi trả hoàn tiền</w:t>
      </w:r>
    </w:p>
    <w:p>
      <w:pPr>
        <w:spacing w:after="60"/>
      </w:pPr>
      <w:r>
        <w:t>Khi đủ điều kiện, hệ thống tạo một bản ghi refund với refund_id duy nhất và liên kết transaction_id. Việc ghi sổ phải có tính nguyên tử: không được ghi nhận trạng thái thành công nếu ví chưa được cộng tiền. Khóa chống lặp bảo đảm cùng một sự kiện không tạo nhiều khoản hoàn.</w:t>
      </w:r>
    </w:p>
    <w:p>
      <w:pPr>
        <w:pStyle w:val="Heading2"/>
      </w:pPr>
      <w:r>
        <w:t>4.4 FR-04 – Thông báo kết quả</w:t>
      </w:r>
    </w:p>
    <w:p>
      <w:pPr>
        <w:spacing w:after="60"/>
      </w:pPr>
      <w:r>
        <w:t>Sau khi ghi sổ thành công, hệ thống gửi thông báo trong ứng dụng, hiển thị số tiền, giao dịch gốc, thời gian và trạng thái. Nếu xử lý đang chờ, giao diện phải ghi rõ 'Đang xử lý' và không thông báo như thể tiền đã được cộng.</w:t>
      </w:r>
    </w:p>
    <w:p>
      <w:pPr>
        <w:pStyle w:val="Heading2"/>
      </w:pPr>
      <w:r>
        <w:t>4.5 FR-05 – Tra cứu lịch sử</w:t>
      </w:r>
    </w:p>
    <w:p>
      <w:pPr>
        <w:spacing w:after="60"/>
      </w:pPr>
      <w:r>
        <w:t>Sinh viên có thể lọc lịch sử theo khoảng thời gian và trạng thái. Nhân viên vận hành được xem mã tham chiếu phục vụ hỗ trợ nhưng không được xem dữ liệu nhạy cảm ngoài quyền hạn.</w:t>
      </w:r>
    </w:p>
    <w:p>
      <w:pPr>
        <w:pStyle w:val="Heading2"/>
      </w:pPr>
      <w:r>
        <w:t>4.6 FR-06 – Đối soát và xử lý ngoại lệ</w:t>
      </w:r>
    </w:p>
    <w:p>
      <w:pPr>
        <w:spacing w:after="60"/>
      </w:pPr>
      <w:r>
        <w:t>Hệ thống xuất dữ liệu hoàn tiền theo ngày, gồm transaction_id, refund_id, user_id, số tiền, phí, trạng thái và thời gian. Bản ghi lệch giữa PayKX và đối tác phải được gắn mã ngoại lệ để điều tra, không tự động cộng tiền lần hai.</w:t>
      </w:r>
    </w:p>
    <w:p>
      <w:pPr>
        <w:pStyle w:val="Heading1"/>
      </w:pPr>
      <w:r>
        <w:t>5. Quy tắc nghiệp vụ</w:t>
      </w:r>
    </w:p>
    <w:tbl>
      <w:tblPr>
        <w:tblStyle w:val="TableGrid"/>
        <w:tblW w:type="auto" w:w="0"/>
        <w:tblLook w:firstColumn="1" w:firstRow="1" w:lastColumn="0" w:lastRow="0" w:noHBand="0" w:noVBand="1" w:val="04A0"/>
      </w:tblPr>
      <w:tblGrid>
        <w:gridCol w:w="4968"/>
        <w:gridCol w:w="4968"/>
      </w:tblGrid>
      <w:tr>
        <w:tc>
          <w:tcPr>
            <w:tcW w:type="dxa" w:w="4968"/>
            <w:shd w:fill="17365D"/>
          </w:tcPr>
          <w:p>
            <w:r>
              <w:rPr>
                <w:b/>
                <w:color w:val="FFFFFF"/>
                <w:sz w:val="16"/>
              </w:rPr>
              <w:t>Mã</w:t>
            </w:r>
          </w:p>
        </w:tc>
        <w:tc>
          <w:tcPr>
            <w:tcW w:type="dxa" w:w="4968"/>
            <w:shd w:fill="17365D"/>
          </w:tcPr>
          <w:p>
            <w:r>
              <w:rPr>
                <w:b/>
                <w:color w:val="FFFFFF"/>
                <w:sz w:val="16"/>
              </w:rPr>
              <w:t>Quy tắc</w:t>
            </w:r>
          </w:p>
        </w:tc>
      </w:tr>
      <w:tr>
        <w:tc>
          <w:tcPr>
            <w:tcW w:type="dxa" w:w="4968"/>
          </w:tcPr>
          <w:p>
            <w:r>
              <w:rPr>
                <w:sz w:val="16"/>
              </w:rPr>
              <w:t>BR-01</w:t>
            </w:r>
          </w:p>
        </w:tc>
        <w:tc>
          <w:tcPr>
            <w:tcW w:type="dxa" w:w="4968"/>
          </w:tcPr>
          <w:p>
            <w:r>
              <w:rPr>
                <w:sz w:val="16"/>
              </w:rPr>
              <w:t>Chỉ giao dịch thanh toán thành công mới được xét hoàn.</w:t>
            </w:r>
          </w:p>
        </w:tc>
      </w:tr>
      <w:tr>
        <w:tc>
          <w:tcPr>
            <w:tcW w:type="dxa" w:w="4968"/>
          </w:tcPr>
          <w:p>
            <w:r>
              <w:rPr>
                <w:sz w:val="16"/>
              </w:rPr>
              <w:t>BR-02</w:t>
            </w:r>
          </w:p>
        </w:tc>
        <w:tc>
          <w:tcPr>
            <w:tcW w:type="dxa" w:w="4968"/>
          </w:tcPr>
          <w:p>
            <w:r>
              <w:rPr>
                <w:sz w:val="16"/>
              </w:rPr>
              <w:t>Mỗi giao dịch gốc chỉ được hoàn tối đa một lần cho cùng một chiến dịch.</w:t>
            </w:r>
          </w:p>
        </w:tc>
      </w:tr>
      <w:tr>
        <w:tc>
          <w:tcPr>
            <w:tcW w:type="dxa" w:w="4968"/>
          </w:tcPr>
          <w:p>
            <w:r>
              <w:rPr>
                <w:sz w:val="16"/>
              </w:rPr>
              <w:t>BR-03</w:t>
            </w:r>
          </w:p>
        </w:tc>
        <w:tc>
          <w:tcPr>
            <w:tcW w:type="dxa" w:w="4968"/>
          </w:tcPr>
          <w:p>
            <w:r>
              <w:rPr>
                <w:sz w:val="16"/>
              </w:rPr>
              <w:t>Số tiền hoàn = MIN(số tiền giao dịch × tỷ lệ, hạn mức chiến dịch).</w:t>
            </w:r>
          </w:p>
        </w:tc>
      </w:tr>
      <w:tr>
        <w:tc>
          <w:tcPr>
            <w:tcW w:type="dxa" w:w="4968"/>
          </w:tcPr>
          <w:p>
            <w:r>
              <w:rPr>
                <w:sz w:val="16"/>
              </w:rPr>
              <w:t>BR-04</w:t>
            </w:r>
          </w:p>
        </w:tc>
        <w:tc>
          <w:tcPr>
            <w:tcW w:type="dxa" w:w="4968"/>
          </w:tcPr>
          <w:p>
            <w:r>
              <w:rPr>
                <w:sz w:val="16"/>
              </w:rPr>
              <w:t>Giao dịch bị hủy/hoàn toàn phần trước đó không đủ điều kiện.</w:t>
            </w:r>
          </w:p>
        </w:tc>
      </w:tr>
      <w:tr>
        <w:tc>
          <w:tcPr>
            <w:tcW w:type="dxa" w:w="4968"/>
          </w:tcPr>
          <w:p>
            <w:r>
              <w:rPr>
                <w:sz w:val="16"/>
              </w:rPr>
              <w:t>BR-05</w:t>
            </w:r>
          </w:p>
        </w:tc>
        <w:tc>
          <w:tcPr>
            <w:tcW w:type="dxa" w:w="4968"/>
          </w:tcPr>
          <w:p>
            <w:r>
              <w:rPr>
                <w:sz w:val="16"/>
              </w:rPr>
              <w:t>Mọi thao tác điều chỉnh thủ công phải có người thực hiện, lý do và dấu thời gian.</w:t>
            </w:r>
          </w:p>
        </w:tc>
      </w:tr>
    </w:tbl>
    <w:p/>
    <w:p>
      <w:r>
        <w:br w:type="page"/>
      </w:r>
    </w:p>
    <w:p>
      <w:pPr>
        <w:pStyle w:val="Heading1"/>
      </w:pPr>
      <w:r>
        <w:t>6. Yêu cầu phi chức năng</w:t>
      </w:r>
    </w:p>
    <w:p>
      <w:pPr>
        <w:pStyle w:val="Heading2"/>
      </w:pPr>
      <w:r>
        <w:t>6.1 Hiệu năng và khả dụng</w:t>
      </w:r>
    </w:p>
    <w:p>
      <w:pPr>
        <w:spacing w:after="60"/>
      </w:pPr>
      <w:r>
        <w:t>Mục tiêu đề xuất: 95% yêu cầu tra cứu hoàn tiền phản hồi trong 2 giây; 99,5% sự kiện hợp lệ được xử lý trong 60 giây khi các dịch vụ phụ thuộc hoạt động bình thường. Khi đối tác lỗi, hệ thống lưu hàng đợi và thử lại theo chính sách có giới hạn.</w:t>
      </w:r>
    </w:p>
    <w:p>
      <w:pPr>
        <w:pStyle w:val="Heading2"/>
      </w:pPr>
      <w:r>
        <w:t>6.2 Bảo mật và quyền riêng tư</w:t>
      </w:r>
    </w:p>
    <w:p>
      <w:pPr>
        <w:spacing w:after="60"/>
      </w:pPr>
      <w:r>
        <w:t>Dữ liệu phải được truyền qua kết nối mã hóa; quyền truy cập theo vai trò; bí mật API không ghi vào log; dữ liệu hiển thị cho hỗ trợ được che bớt. Các hành động quản trị cần được ghi audit log và có cơ chế phát hiện truy cập bất thường.</w:t>
      </w:r>
    </w:p>
    <w:p>
      <w:pPr>
        <w:pStyle w:val="Heading2"/>
      </w:pPr>
      <w:r>
        <w:t>6.3 Toàn vẹn dữ liệu và lưu vết</w:t>
      </w:r>
    </w:p>
    <w:p>
      <w:pPr>
        <w:spacing w:after="60"/>
      </w:pPr>
      <w:r>
        <w:t>transaction_id, refund_id và mã tham chiếu đối tác cần có ràng buộc duy nhất phù hợp. Lưu thời điểm tạo/cập nhật, nguồn sự kiện và trạng thái trước/sau. Không xóa vật lý bản ghi tài chính đã ghi sổ; điều chỉnh bằng bút toán đảo có liên kết.</w:t>
      </w:r>
    </w:p>
    <w:p>
      <w:pPr>
        <w:pStyle w:val="Heading1"/>
      </w:pPr>
      <w:r>
        <w:t>7. Dữ liệu và giao diện</w:t>
      </w:r>
    </w:p>
    <w:p>
      <w:pPr>
        <w:pStyle w:val="Heading2"/>
      </w:pPr>
      <w:r>
        <w:t>7.1 Các trường dữ liệu cốt lõi</w:t>
      </w:r>
    </w:p>
    <w:tbl>
      <w:tblPr>
        <w:tblStyle w:val="TableGrid"/>
        <w:tblW w:type="auto" w:w="0"/>
        <w:tblLook w:firstColumn="1" w:firstRow="1" w:lastColumn="0" w:lastRow="0" w:noHBand="0" w:noVBand="1" w:val="04A0"/>
      </w:tblPr>
      <w:tblGrid>
        <w:gridCol w:w="3312"/>
        <w:gridCol w:w="3312"/>
        <w:gridCol w:w="3312"/>
      </w:tblGrid>
      <w:tr>
        <w:tc>
          <w:tcPr>
            <w:tcW w:type="dxa" w:w="3312"/>
            <w:shd w:fill="17365D"/>
          </w:tcPr>
          <w:p>
            <w:r>
              <w:rPr>
                <w:b/>
                <w:color w:val="FFFFFF"/>
                <w:sz w:val="16"/>
              </w:rPr>
              <w:t>Trường</w:t>
            </w:r>
          </w:p>
        </w:tc>
        <w:tc>
          <w:tcPr>
            <w:tcW w:type="dxa" w:w="3312"/>
            <w:shd w:fill="17365D"/>
          </w:tcPr>
          <w:p>
            <w:r>
              <w:rPr>
                <w:b/>
                <w:color w:val="FFFFFF"/>
                <w:sz w:val="16"/>
              </w:rPr>
              <w:t>Kiểu / quy tắc</w:t>
            </w:r>
          </w:p>
        </w:tc>
        <w:tc>
          <w:tcPr>
            <w:tcW w:type="dxa" w:w="3312"/>
            <w:shd w:fill="17365D"/>
          </w:tcPr>
          <w:p>
            <w:r>
              <w:rPr>
                <w:b/>
                <w:color w:val="FFFFFF"/>
                <w:sz w:val="16"/>
              </w:rPr>
              <w:t>Mô tả</w:t>
            </w:r>
          </w:p>
        </w:tc>
      </w:tr>
      <w:tr>
        <w:tc>
          <w:tcPr>
            <w:tcW w:type="dxa" w:w="3312"/>
          </w:tcPr>
          <w:p>
            <w:r>
              <w:rPr>
                <w:sz w:val="16"/>
              </w:rPr>
              <w:t>transaction_id</w:t>
            </w:r>
          </w:p>
        </w:tc>
        <w:tc>
          <w:tcPr>
            <w:tcW w:type="dxa" w:w="3312"/>
          </w:tcPr>
          <w:p>
            <w:r>
              <w:rPr>
                <w:sz w:val="16"/>
              </w:rPr>
              <w:t>VARCHAR, UNIQUE</w:t>
            </w:r>
          </w:p>
        </w:tc>
        <w:tc>
          <w:tcPr>
            <w:tcW w:type="dxa" w:w="3312"/>
          </w:tcPr>
          <w:p>
            <w:r>
              <w:rPr>
                <w:sz w:val="16"/>
              </w:rPr>
              <w:t>Mã giao dịch gốc.</w:t>
            </w:r>
          </w:p>
        </w:tc>
      </w:tr>
      <w:tr>
        <w:tc>
          <w:tcPr>
            <w:tcW w:type="dxa" w:w="3312"/>
          </w:tcPr>
          <w:p>
            <w:r>
              <w:rPr>
                <w:sz w:val="16"/>
              </w:rPr>
              <w:t>user_id</w:t>
            </w:r>
          </w:p>
        </w:tc>
        <w:tc>
          <w:tcPr>
            <w:tcW w:type="dxa" w:w="3312"/>
          </w:tcPr>
          <w:p>
            <w:r>
              <w:rPr>
                <w:sz w:val="16"/>
              </w:rPr>
              <w:t>VARCHAR, NOT NULL</w:t>
            </w:r>
          </w:p>
        </w:tc>
        <w:tc>
          <w:tcPr>
            <w:tcW w:type="dxa" w:w="3312"/>
          </w:tcPr>
          <w:p>
            <w:r>
              <w:rPr>
                <w:sz w:val="16"/>
              </w:rPr>
              <w:t>Mã người dùng; không dùng tên làm khóa.</w:t>
            </w:r>
          </w:p>
        </w:tc>
      </w:tr>
      <w:tr>
        <w:tc>
          <w:tcPr>
            <w:tcW w:type="dxa" w:w="3312"/>
          </w:tcPr>
          <w:p>
            <w:r>
              <w:rPr>
                <w:sz w:val="16"/>
              </w:rPr>
              <w:t>amount_vnd</w:t>
            </w:r>
          </w:p>
        </w:tc>
        <w:tc>
          <w:tcPr>
            <w:tcW w:type="dxa" w:w="3312"/>
          </w:tcPr>
          <w:p>
            <w:r>
              <w:rPr>
                <w:sz w:val="16"/>
              </w:rPr>
              <w:t>BIGINT, &gt;= 0</w:t>
            </w:r>
          </w:p>
        </w:tc>
        <w:tc>
          <w:tcPr>
            <w:tcW w:type="dxa" w:w="3312"/>
          </w:tcPr>
          <w:p>
            <w:r>
              <w:rPr>
                <w:sz w:val="16"/>
              </w:rPr>
              <w:t>Số tiền thanh toán theo VND.</w:t>
            </w:r>
          </w:p>
        </w:tc>
      </w:tr>
      <w:tr>
        <w:tc>
          <w:tcPr>
            <w:tcW w:type="dxa" w:w="3312"/>
          </w:tcPr>
          <w:p>
            <w:r>
              <w:rPr>
                <w:sz w:val="16"/>
              </w:rPr>
              <w:t>refund_amount_vnd</w:t>
            </w:r>
          </w:p>
        </w:tc>
        <w:tc>
          <w:tcPr>
            <w:tcW w:type="dxa" w:w="3312"/>
          </w:tcPr>
          <w:p>
            <w:r>
              <w:rPr>
                <w:sz w:val="16"/>
              </w:rPr>
              <w:t>BIGINT, &gt;= 0</w:t>
            </w:r>
          </w:p>
        </w:tc>
        <w:tc>
          <w:tcPr>
            <w:tcW w:type="dxa" w:w="3312"/>
          </w:tcPr>
          <w:p>
            <w:r>
              <w:rPr>
                <w:sz w:val="16"/>
              </w:rPr>
              <w:t>Số tiền hoàn đã xác nhận.</w:t>
            </w:r>
          </w:p>
        </w:tc>
      </w:tr>
      <w:tr>
        <w:tc>
          <w:tcPr>
            <w:tcW w:type="dxa" w:w="3312"/>
          </w:tcPr>
          <w:p>
            <w:r>
              <w:rPr>
                <w:sz w:val="16"/>
              </w:rPr>
              <w:t>status</w:t>
            </w:r>
          </w:p>
        </w:tc>
        <w:tc>
          <w:tcPr>
            <w:tcW w:type="dxa" w:w="3312"/>
          </w:tcPr>
          <w:p>
            <w:r>
              <w:rPr>
                <w:sz w:val="16"/>
              </w:rPr>
              <w:t>ENUM</w:t>
            </w:r>
          </w:p>
        </w:tc>
        <w:tc>
          <w:tcPr>
            <w:tcW w:type="dxa" w:w="3312"/>
          </w:tcPr>
          <w:p>
            <w:r>
              <w:rPr>
                <w:sz w:val="16"/>
              </w:rPr>
              <w:t>PENDING, SUCCESS, FAILED, REVERSED.</w:t>
            </w:r>
          </w:p>
        </w:tc>
      </w:tr>
      <w:tr>
        <w:tc>
          <w:tcPr>
            <w:tcW w:type="dxa" w:w="3312"/>
          </w:tcPr>
          <w:p>
            <w:r>
              <w:rPr>
                <w:sz w:val="16"/>
              </w:rPr>
              <w:t>created_at</w:t>
            </w:r>
          </w:p>
        </w:tc>
        <w:tc>
          <w:tcPr>
            <w:tcW w:type="dxa" w:w="3312"/>
          </w:tcPr>
          <w:p>
            <w:r>
              <w:rPr>
                <w:sz w:val="16"/>
              </w:rPr>
              <w:t>TIMESTAMP</w:t>
            </w:r>
          </w:p>
        </w:tc>
        <w:tc>
          <w:tcPr>
            <w:tcW w:type="dxa" w:w="3312"/>
          </w:tcPr>
          <w:p>
            <w:r>
              <w:rPr>
                <w:sz w:val="16"/>
              </w:rPr>
              <w:t>Thời gian tạo theo chuẩn thống nhất.</w:t>
            </w:r>
          </w:p>
        </w:tc>
      </w:tr>
    </w:tbl>
    <w:p/>
    <w:p>
      <w:pPr>
        <w:pStyle w:val="Heading2"/>
      </w:pPr>
      <w:r>
        <w:t>7.2 Giao diện</w:t>
      </w:r>
    </w:p>
    <w:p>
      <w:pPr>
        <w:spacing w:after="60"/>
      </w:pPr>
      <w:r>
        <w:t>Màn hình chi tiết giao dịch hiển thị trạng thái dễ hiểu, số tiền hoàn dự kiến/đã hoàn và thời gian cập nhật. Không dùng màu sắc làm tín hiệu duy nhất; cần có nhãn chữ và khả năng đọc trên màn hình nhỏ.</w:t>
      </w:r>
    </w:p>
    <w:p>
      <w:r>
        <w:br w:type="page"/>
      </w:r>
    </w:p>
    <w:p>
      <w:pPr>
        <w:pStyle w:val="Heading1"/>
      </w:pPr>
      <w:r>
        <w:t>8. Tiêu chí nghiệm thu và kiểm thử</w:t>
      </w:r>
    </w:p>
    <w:tbl>
      <w:tblPr>
        <w:tblStyle w:val="TableGrid"/>
        <w:tblW w:type="auto" w:w="0"/>
        <w:tblLook w:firstColumn="1" w:firstRow="1" w:lastColumn="0" w:lastRow="0" w:noHBand="0" w:noVBand="1" w:val="04A0"/>
      </w:tblPr>
      <w:tblGrid>
        <w:gridCol w:w="3312"/>
        <w:gridCol w:w="3312"/>
        <w:gridCol w:w="3312"/>
      </w:tblGrid>
      <w:tr>
        <w:tc>
          <w:tcPr>
            <w:tcW w:type="dxa" w:w="3312"/>
            <w:shd w:fill="17365D"/>
          </w:tcPr>
          <w:p>
            <w:r>
              <w:rPr>
                <w:b/>
                <w:color w:val="FFFFFF"/>
                <w:sz w:val="16"/>
              </w:rPr>
              <w:t>ID</w:t>
            </w:r>
          </w:p>
        </w:tc>
        <w:tc>
          <w:tcPr>
            <w:tcW w:type="dxa" w:w="3312"/>
            <w:shd w:fill="17365D"/>
          </w:tcPr>
          <w:p>
            <w:r>
              <w:rPr>
                <w:b/>
                <w:color w:val="FFFFFF"/>
                <w:sz w:val="16"/>
              </w:rPr>
              <w:t>Tình huống</w:t>
            </w:r>
          </w:p>
        </w:tc>
        <w:tc>
          <w:tcPr>
            <w:tcW w:type="dxa" w:w="3312"/>
            <w:shd w:fill="17365D"/>
          </w:tcPr>
          <w:p>
            <w:r>
              <w:rPr>
                <w:b/>
                <w:color w:val="FFFFFF"/>
                <w:sz w:val="16"/>
              </w:rPr>
              <w:t>Kết quả mong đợi</w:t>
            </w:r>
          </w:p>
        </w:tc>
      </w:tr>
      <w:tr>
        <w:tc>
          <w:tcPr>
            <w:tcW w:type="dxa" w:w="3312"/>
          </w:tcPr>
          <w:p>
            <w:r>
              <w:rPr>
                <w:sz w:val="16"/>
              </w:rPr>
              <w:t>AT-01</w:t>
            </w:r>
          </w:p>
        </w:tc>
        <w:tc>
          <w:tcPr>
            <w:tcW w:type="dxa" w:w="3312"/>
          </w:tcPr>
          <w:p>
            <w:r>
              <w:rPr>
                <w:sz w:val="16"/>
              </w:rPr>
              <w:t>Thanh toán SUCCESS nằm trong chiến dịch</w:t>
            </w:r>
          </w:p>
        </w:tc>
        <w:tc>
          <w:tcPr>
            <w:tcW w:type="dxa" w:w="3312"/>
          </w:tcPr>
          <w:p>
            <w:r>
              <w:rPr>
                <w:sz w:val="16"/>
              </w:rPr>
              <w:t>Tạo đúng một bản ghi hoàn với số tiền đúng.</w:t>
            </w:r>
          </w:p>
        </w:tc>
      </w:tr>
      <w:tr>
        <w:tc>
          <w:tcPr>
            <w:tcW w:type="dxa" w:w="3312"/>
          </w:tcPr>
          <w:p>
            <w:r>
              <w:rPr>
                <w:sz w:val="16"/>
              </w:rPr>
              <w:t>AT-02</w:t>
            </w:r>
          </w:p>
        </w:tc>
        <w:tc>
          <w:tcPr>
            <w:tcW w:type="dxa" w:w="3312"/>
          </w:tcPr>
          <w:p>
            <w:r>
              <w:rPr>
                <w:sz w:val="16"/>
              </w:rPr>
              <w:t>Nhận lại cùng sự kiện hai lần</w:t>
            </w:r>
          </w:p>
        </w:tc>
        <w:tc>
          <w:tcPr>
            <w:tcW w:type="dxa" w:w="3312"/>
          </w:tcPr>
          <w:p>
            <w:r>
              <w:rPr>
                <w:sz w:val="16"/>
              </w:rPr>
              <w:t>Chỉ ghi nhận một khoản hoàn.</w:t>
            </w:r>
          </w:p>
        </w:tc>
      </w:tr>
      <w:tr>
        <w:tc>
          <w:tcPr>
            <w:tcW w:type="dxa" w:w="3312"/>
          </w:tcPr>
          <w:p>
            <w:r>
              <w:rPr>
                <w:sz w:val="16"/>
              </w:rPr>
              <w:t>AT-03</w:t>
            </w:r>
          </w:p>
        </w:tc>
        <w:tc>
          <w:tcPr>
            <w:tcW w:type="dxa" w:w="3312"/>
          </w:tcPr>
          <w:p>
            <w:r>
              <w:rPr>
                <w:sz w:val="16"/>
              </w:rPr>
              <w:t>Giao dịch FAILED hoặc CANCELLED</w:t>
            </w:r>
          </w:p>
        </w:tc>
        <w:tc>
          <w:tcPr>
            <w:tcW w:type="dxa" w:w="3312"/>
          </w:tcPr>
          <w:p>
            <w:r>
              <w:rPr>
                <w:sz w:val="16"/>
              </w:rPr>
              <w:t>Không tạo khoản hoàn.</w:t>
            </w:r>
          </w:p>
        </w:tc>
      </w:tr>
      <w:tr>
        <w:tc>
          <w:tcPr>
            <w:tcW w:type="dxa" w:w="3312"/>
          </w:tcPr>
          <w:p>
            <w:r>
              <w:rPr>
                <w:sz w:val="16"/>
              </w:rPr>
              <w:t>AT-04</w:t>
            </w:r>
          </w:p>
        </w:tc>
        <w:tc>
          <w:tcPr>
            <w:tcW w:type="dxa" w:w="3312"/>
          </w:tcPr>
          <w:p>
            <w:r>
              <w:rPr>
                <w:sz w:val="16"/>
              </w:rPr>
              <w:t>Số tiền tính vượt hạn mức</w:t>
            </w:r>
          </w:p>
        </w:tc>
        <w:tc>
          <w:tcPr>
            <w:tcW w:type="dxa" w:w="3312"/>
          </w:tcPr>
          <w:p>
            <w:r>
              <w:rPr>
                <w:sz w:val="16"/>
              </w:rPr>
              <w:t>Áp dụng mức trần đã cấu hình.</w:t>
            </w:r>
          </w:p>
        </w:tc>
      </w:tr>
      <w:tr>
        <w:tc>
          <w:tcPr>
            <w:tcW w:type="dxa" w:w="3312"/>
          </w:tcPr>
          <w:p>
            <w:r>
              <w:rPr>
                <w:sz w:val="16"/>
              </w:rPr>
              <w:t>AT-05</w:t>
            </w:r>
          </w:p>
        </w:tc>
        <w:tc>
          <w:tcPr>
            <w:tcW w:type="dxa" w:w="3312"/>
          </w:tcPr>
          <w:p>
            <w:r>
              <w:rPr>
                <w:sz w:val="16"/>
              </w:rPr>
              <w:t>Đối tác phản hồi chậm</w:t>
            </w:r>
          </w:p>
        </w:tc>
        <w:tc>
          <w:tcPr>
            <w:tcW w:type="dxa" w:w="3312"/>
          </w:tcPr>
          <w:p>
            <w:r>
              <w:rPr>
                <w:sz w:val="16"/>
              </w:rPr>
              <w:t>Trạng thái chờ; có retry và log, không cộng trùng.</w:t>
            </w:r>
          </w:p>
        </w:tc>
      </w:tr>
      <w:tr>
        <w:tc>
          <w:tcPr>
            <w:tcW w:type="dxa" w:w="3312"/>
          </w:tcPr>
          <w:p>
            <w:r>
              <w:rPr>
                <w:sz w:val="16"/>
              </w:rPr>
              <w:t>AT-06</w:t>
            </w:r>
          </w:p>
        </w:tc>
        <w:tc>
          <w:tcPr>
            <w:tcW w:type="dxa" w:w="3312"/>
          </w:tcPr>
          <w:p>
            <w:r>
              <w:rPr>
                <w:sz w:val="16"/>
              </w:rPr>
              <w:t>Người dùng tra cứu lịch sử</w:t>
            </w:r>
          </w:p>
        </w:tc>
        <w:tc>
          <w:tcPr>
            <w:tcW w:type="dxa" w:w="3312"/>
          </w:tcPr>
          <w:p>
            <w:r>
              <w:rPr>
                <w:sz w:val="16"/>
              </w:rPr>
              <w:t>Chỉ xem dữ liệu thuộc tài khoản của mình.</w:t>
            </w:r>
          </w:p>
        </w:tc>
      </w:tr>
    </w:tbl>
    <w:p/>
    <w:p>
      <w:pPr>
        <w:pStyle w:val="Heading1"/>
      </w:pPr>
      <w:r>
        <w:t>9. Rủi ro và biện pháp giảm thiểu</w:t>
      </w:r>
    </w:p>
    <w:p>
      <w:pPr>
        <w:spacing w:after="60"/>
      </w:pPr>
      <w:r>
        <w:t>Rủi ro chính gồm sự kiện trùng, sai lệch phí, cấu hình chiến dịch sai và dữ liệu đối tác đến muộn. Biện pháp: khóa idempotency, đối soát theo ngày, phê duyệt hai bước cho thay đổi hạn mức, cảnh báo khi tỷ lệ lỗi tăng và quy trình xử lý ngoại lệ có người chịu trách nhiệm.</w:t>
      </w:r>
    </w:p>
    <w:p>
      <w:pPr>
        <w:pStyle w:val="Heading1"/>
      </w:pPr>
      <w:r>
        <w:t>10. Phê duyệt và lịch sử phiên bản</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17365D"/>
          </w:tcPr>
          <w:p>
            <w:r>
              <w:rPr>
                <w:b/>
                <w:color w:val="FFFFFF"/>
                <w:sz w:val="16"/>
              </w:rPr>
              <w:t>Phiên bản</w:t>
            </w:r>
          </w:p>
        </w:tc>
        <w:tc>
          <w:tcPr>
            <w:tcW w:type="dxa" w:w="2484"/>
            <w:shd w:fill="17365D"/>
          </w:tcPr>
          <w:p>
            <w:r>
              <w:rPr>
                <w:b/>
                <w:color w:val="FFFFFF"/>
                <w:sz w:val="16"/>
              </w:rPr>
              <w:t>Ngày</w:t>
            </w:r>
          </w:p>
        </w:tc>
        <w:tc>
          <w:tcPr>
            <w:tcW w:type="dxa" w:w="2484"/>
            <w:shd w:fill="17365D"/>
          </w:tcPr>
          <w:p>
            <w:r>
              <w:rPr>
                <w:b/>
                <w:color w:val="FFFFFF"/>
                <w:sz w:val="16"/>
              </w:rPr>
              <w:t>Thay đổi</w:t>
            </w:r>
          </w:p>
        </w:tc>
        <w:tc>
          <w:tcPr>
            <w:tcW w:type="dxa" w:w="2484"/>
            <w:shd w:fill="17365D"/>
          </w:tcPr>
          <w:p>
            <w:r>
              <w:rPr>
                <w:b/>
                <w:color w:val="FFFFFF"/>
                <w:sz w:val="16"/>
              </w:rPr>
              <w:t>Trạng thái</w:t>
            </w:r>
          </w:p>
        </w:tc>
      </w:tr>
      <w:tr>
        <w:tc>
          <w:tcPr>
            <w:tcW w:type="dxa" w:w="2484"/>
          </w:tcPr>
          <w:p>
            <w:r>
              <w:rPr>
                <w:sz w:val="16"/>
              </w:rPr>
              <w:t>1.0</w:t>
            </w:r>
          </w:p>
        </w:tc>
        <w:tc>
          <w:tcPr>
            <w:tcW w:type="dxa" w:w="2484"/>
          </w:tcPr>
          <w:p>
            <w:r>
              <w:rPr>
                <w:sz w:val="16"/>
              </w:rPr>
              <w:t>27/10/2026</w:t>
            </w:r>
          </w:p>
        </w:tc>
        <w:tc>
          <w:tcPr>
            <w:tcW w:type="dxa" w:w="2484"/>
          </w:tcPr>
          <w:p>
            <w:r>
              <w:rPr>
                <w:sz w:val="16"/>
              </w:rPr>
              <w:t>Tạo bản SRS mẫu cho tính năng hoàn tiền PayKX.</w:t>
            </w:r>
          </w:p>
        </w:tc>
        <w:tc>
          <w:tcPr>
            <w:tcW w:type="dxa" w:w="2484"/>
          </w:tcPr>
          <w:p>
            <w:r>
              <w:rPr>
                <w:sz w:val="16"/>
              </w:rPr>
              <w:t>Chờ rà soát</w:t>
            </w:r>
          </w:p>
        </w:tc>
      </w:tr>
    </w:tbl>
    <w:p/>
    <w:p>
      <w:pPr>
        <w:spacing w:after="60"/>
      </w:pPr>
      <w:r>
        <w:t>Các giả định cần chủ sản phẩm xác nhận trước khi phát hành: tỷ lệ hoàn, hạn mức, danh mục giao dịch, thời hạn chiến dịch, thời gian lưu dữ liệu và SLA thực tế.</w:t>
      </w:r>
    </w:p>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PayKX • SRS tính năng hoàn tiền • Bản 1.0</w:t>
    </w:r>
    <w:r>
      <w:t xml:space="preserve">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PAYKX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70C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