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REQUIREMENTS SPECIFICATION</w:t>
      </w:r>
    </w:p>
    <w:p>
      <w:pPr>
        <w:jc w:val="center"/>
      </w:pPr>
      <w:r>
        <w:rPr>
          <w:b/>
          <w:color w:val="E87524"/>
          <w:sz w:val="28"/>
        </w:rPr>
        <w:t>PTIT-LEARNING — MODULE LỚP HỌC ẢO</w:t>
      </w:r>
    </w:p>
    <w:p>
      <w:pPr>
        <w:spacing w:after="60"/>
      </w:pPr>
      <w:r>
        <w:t>Phiên bản 1.0 | Ngày 27/10/2026 | Trạng thái: Bản đặc tả mẫu phục vụ học tập</w:t>
      </w:r>
    </w:p>
    <w:p>
      <w:pPr>
        <w:spacing w:after="60"/>
      </w:pPr>
      <w:r>
        <w:t>Mục tiêu: xác định yêu cầu cho lớp học trực tuyến, quản lý học viên đăng ký từ nhiều nguồn, theo dõi chuyên cần và lưu lại tài liệu buổi học.</w:t>
      </w:r>
    </w:p>
    <w:p>
      <w:pPr>
        <w:pStyle w:val="Heading1"/>
      </w:pPr>
      <w:r>
        <w:t>1. Giới thiệu</w:t>
      </w:r>
    </w:p>
    <w:p>
      <w:pPr>
        <w:pStyle w:val="Heading2"/>
      </w:pPr>
      <w:r>
        <w:t>1.1 Mục đích tài liệu</w:t>
      </w:r>
    </w:p>
    <w:p>
      <w:pPr>
        <w:spacing w:after="60"/>
      </w:pPr>
      <w:r>
        <w:t>Tài liệu thống nhất cách hiểu giữa chủ sản phẩm, nhóm phát triển, kiểm thử, vận hành và giảng viên. Các yêu cầu được viết theo hướng có thể kiểm tra, có mã định danh và tiêu chí nghiệm thu.</w:t>
      </w:r>
    </w:p>
    <w:p>
      <w:pPr>
        <w:pStyle w:val="Heading2"/>
      </w:pPr>
      <w:r>
        <w:t>1.2 Phạm vi hệ thống</w:t>
      </w:r>
    </w:p>
    <w:p>
      <w:pPr>
        <w:spacing w:after="60"/>
      </w:pPr>
      <w:r>
        <w:t>Module Lớp học ảo hỗ trợ tạo lịch học, tham gia phòng học bằng liên kết bảo mật, hiển thị danh sách người tham gia, chat, chia sẻ tài liệu, ghi nhận chuyên cần và xem lại nội dung sau buổi học nếu được cấp quyền. Tài liệu không mô tả hệ thống thanh toán hoặc tuyển sinh toàn trường.</w:t>
      </w:r>
    </w:p>
    <w:p>
      <w:pPr>
        <w:pStyle w:val="Heading1"/>
      </w:pPr>
      <w:r>
        <w:t>2. Tổng quan sản phẩm</w:t>
      </w:r>
    </w:p>
    <w:p>
      <w:pPr>
        <w:pStyle w:val="Heading2"/>
      </w:pPr>
      <w:r>
        <w:t>2.1 Nhóm người dùng</w:t>
      </w:r>
    </w:p>
    <w:tbl>
      <w:tblPr>
        <w:tblStyle w:val="TableGrid"/>
        <w:tblW w:type="auto" w:w="0"/>
        <w:tblLook w:firstColumn="1" w:firstRow="1" w:lastColumn="0" w:lastRow="0" w:noHBand="0" w:noVBand="1" w:val="04A0"/>
      </w:tblPr>
      <w:tblGrid>
        <w:gridCol w:w="4997"/>
        <w:gridCol w:w="4997"/>
      </w:tblGrid>
      <w:tr>
        <w:tc>
          <w:tcPr>
            <w:tcW w:type="dxa" w:w="4997"/>
            <w:shd w:fill="17365D"/>
          </w:tcPr>
          <w:p>
            <w:r>
              <w:rPr>
                <w:b/>
                <w:color w:val="FFFFFF"/>
                <w:sz w:val="16"/>
              </w:rPr>
              <w:t>Vai trò</w:t>
            </w:r>
          </w:p>
        </w:tc>
        <w:tc>
          <w:tcPr>
            <w:tcW w:type="dxa" w:w="4997"/>
            <w:shd w:fill="17365D"/>
          </w:tcPr>
          <w:p>
            <w:r>
              <w:rPr>
                <w:b/>
                <w:color w:val="FFFFFF"/>
                <w:sz w:val="16"/>
              </w:rPr>
              <w:t>Nhu cầu chính</w:t>
            </w:r>
          </w:p>
        </w:tc>
      </w:tr>
      <w:tr>
        <w:tc>
          <w:tcPr>
            <w:tcW w:type="dxa" w:w="4997"/>
          </w:tcPr>
          <w:p>
            <w:r>
              <w:rPr>
                <w:sz w:val="16"/>
              </w:rPr>
              <w:t>Học viên</w:t>
            </w:r>
          </w:p>
        </w:tc>
        <w:tc>
          <w:tcPr>
            <w:tcW w:type="dxa" w:w="4997"/>
          </w:tcPr>
          <w:p>
            <w:r>
              <w:rPr>
                <w:sz w:val="16"/>
              </w:rPr>
              <w:t>Xem lịch, vào lớp, trao đổi, tải tài liệu và theo dõi chuyên cần.</w:t>
            </w:r>
          </w:p>
        </w:tc>
      </w:tr>
      <w:tr>
        <w:tc>
          <w:tcPr>
            <w:tcW w:type="dxa" w:w="4997"/>
          </w:tcPr>
          <w:p>
            <w:r>
              <w:rPr>
                <w:sz w:val="16"/>
              </w:rPr>
              <w:t>Giảng viên</w:t>
            </w:r>
          </w:p>
        </w:tc>
        <w:tc>
          <w:tcPr>
            <w:tcW w:type="dxa" w:w="4997"/>
          </w:tcPr>
          <w:p>
            <w:r>
              <w:rPr>
                <w:sz w:val="16"/>
              </w:rPr>
              <w:t>Tạo buổi học, quản lý người tham gia, chia sẻ tài liệu và kết thúc lớp.</w:t>
            </w:r>
          </w:p>
        </w:tc>
      </w:tr>
      <w:tr>
        <w:tc>
          <w:tcPr>
            <w:tcW w:type="dxa" w:w="4997"/>
          </w:tcPr>
          <w:p>
            <w:r>
              <w:rPr>
                <w:sz w:val="16"/>
              </w:rPr>
              <w:t>Quản trị viên</w:t>
            </w:r>
          </w:p>
        </w:tc>
        <w:tc>
          <w:tcPr>
            <w:tcW w:type="dxa" w:w="4997"/>
          </w:tcPr>
          <w:p>
            <w:r>
              <w:rPr>
                <w:sz w:val="16"/>
              </w:rPr>
              <w:t>Quản lý quyền, xử lý báo cáo sự cố và cấu hình chính sách dữ liệu.</w:t>
            </w:r>
          </w:p>
        </w:tc>
      </w:tr>
    </w:tbl>
    <w:p/>
    <w:p>
      <w:pPr>
        <w:pStyle w:val="Heading2"/>
      </w:pPr>
      <w:r>
        <w:t>2.2 Giả định và phụ thuộc</w:t>
      </w:r>
    </w:p>
    <w:p>
      <w:pPr>
        <w:spacing w:after="60"/>
      </w:pPr>
      <w:r>
        <w:t>Người dùng đã có tài khoản PTIT-Learning; thiết bị có trình duyệt hiện đại và kết nối Internet. Video có thể phụ thuộc nhà cung cấp bên ngoài; khi dịch vụ video lỗi, hệ thống phải hiển thị thông báo rõ ràng và cung cấp phương án quay lại.</w:t>
      </w:r>
    </w:p>
    <w:p>
      <w:pPr>
        <w:pStyle w:val="Heading1"/>
      </w:pPr>
      <w:r>
        <w:t>3. Yêu cầu chức năng (Functional Requirements)</w:t>
      </w:r>
    </w:p>
    <w:p>
      <w:pPr>
        <w:pStyle w:val="Heading2"/>
      </w:pPr>
      <w:r>
        <w:t>3.1 FR-01 — Tạo và lên lịch lớp học</w:t>
      </w:r>
    </w:p>
    <w:p>
      <w:pPr>
        <w:spacing w:after="60"/>
      </w:pPr>
      <w:r>
        <w:t>Giảng viên có quyền tạo buổi học với tiêu đề, môn học, thời gian bắt đầu/kết thúc, múi giờ, giới hạn người tham gia và mô tả. Hệ thống kiểm tra dữ liệu bắt buộc, thời gian hợp lệ và quyền tạo lớp trước khi lưu.</w:t>
      </w:r>
    </w:p>
    <w:p>
      <w:pPr>
        <w:pStyle w:val="Heading2"/>
      </w:pPr>
      <w:r>
        <w:t>3.2 FR-02 — Xác thực và tham gia lớp</w:t>
      </w:r>
    </w:p>
    <w:p>
      <w:pPr>
        <w:spacing w:after="60"/>
      </w:pPr>
      <w:r>
        <w:t>Học viên chỉ được tham gia khi đã đăng nhập và được ghi danh hoặc có quyền truy cập hợp lệ. Liên kết lớp phải có mã định danh khó đoán; người không có quyền nhận thông báo từ chối mà không tiết lộ thông tin lớp.</w:t>
      </w:r>
    </w:p>
    <w:p>
      <w:pPr>
        <w:pStyle w:val="Heading2"/>
      </w:pPr>
      <w:r>
        <w:t>3.3 FR-03 — Phòng học video và âm thanh</w:t>
      </w:r>
    </w:p>
    <w:p>
      <w:pPr>
        <w:spacing w:after="60"/>
      </w:pPr>
      <w:r>
        <w:t>Giao diện cho phép bật/tắt micro, camera và chọn thiết bị khả dụng. Nếu kết nối suy giảm, hệ thống hiển thị trạng thái kết nối và cho phép thử kết nối lại. Không tự động bật camera/micro khi chưa có hành động hoặc sự đồng ý của người dùng.</w:t>
      </w:r>
    </w:p>
    <w:p>
      <w:pPr>
        <w:pStyle w:val="Heading2"/>
      </w:pPr>
      <w:r>
        <w:t>3.4 FR-04 — Danh sách người tham gia</w:t>
      </w:r>
    </w:p>
    <w:p>
      <w:pPr>
        <w:spacing w:after="60"/>
      </w:pPr>
      <w:r>
        <w:t>Giảng viên xem danh sách người tham gia theo tên hiển thị và trạng thái kết nối. Quyền tắt micro hoặc loại người tham gia chỉ thuộc giảng viên/người được ủy quyền; mọi hành động quản trị phải được ghi nhật ký.</w:t>
      </w:r>
    </w:p>
    <w:p>
      <w:pPr>
        <w:pStyle w:val="Heading2"/>
      </w:pPr>
      <w:r>
        <w:t>3.5 FR-05 — Chat và câu hỏi</w:t>
      </w:r>
    </w:p>
    <w:p>
      <w:pPr>
        <w:spacing w:after="60"/>
      </w:pPr>
      <w:r>
        <w:t>Người tham gia có thể gửi tin nhắn văn bản trong phạm vi lớp. Hệ thống giới hạn kích thước tin nhắn, lọc nội dung không hợp lệ theo chính sách và hiển thị thứ tự thời gian. Giảng viên có thể ghim câu hỏi để xử lý lần lượt.</w:t>
      </w:r>
    </w:p>
    <w:p>
      <w:pPr>
        <w:pStyle w:val="Heading2"/>
      </w:pPr>
      <w:r>
        <w:t>3.6 FR-06 — Chia sẻ tài liệu</w:t>
      </w:r>
    </w:p>
    <w:p>
      <w:pPr>
        <w:spacing w:after="60"/>
      </w:pPr>
      <w:r>
        <w:t>Giảng viên tải tài liệu theo định dạng được hỗ trợ; hệ thống kiểm tra dung lượng, loại tệp và quyền truy cập. Tài liệu chỉ hiển thị cho thành viên có quyền trong lớp và có thể được thu hồi bởi người có quyền.</w:t>
      </w:r>
    </w:p>
    <w:p>
      <w:pPr>
        <w:pStyle w:val="Heading2"/>
      </w:pPr>
      <w:r>
        <w:t>3.7 FR-07 — Điểm danh và chuyên cần</w:t>
      </w:r>
    </w:p>
    <w:p>
      <w:pPr>
        <w:spacing w:after="60"/>
      </w:pPr>
      <w:r>
        <w:t>Hệ thống ghi nhận thời điểm vào/ra lớp và tính thời lượng tham gia. Quy tắc quy đổi thành điểm chuyên cần phải cấu hình được, hiển thị minh bạch và cho phép giảng viên sửa ngoại lệ kèm lý do.</w:t>
      </w:r>
    </w:p>
    <w:p>
      <w:pPr>
        <w:pStyle w:val="Heading2"/>
      </w:pPr>
      <w:r>
        <w:t>3.8 FR-08 — Ghi hình và tài liệu sau buổi học</w:t>
      </w:r>
    </w:p>
    <w:p>
      <w:pPr>
        <w:spacing w:after="60"/>
      </w:pPr>
      <w:r>
        <w:t>Nếu ghi hình được bật, hệ thống thông báo trước khi bắt đầu và chỉ ghi khi chính sách/đồng ý phù hợp. Bản ghi có quyền xem, thời hạn lưu và cơ chế xóa theo quy định.</w:t>
      </w:r>
    </w:p>
    <w:p>
      <w:pPr>
        <w:pStyle w:val="Heading2"/>
      </w:pPr>
      <w:r>
        <w:t>3.9 FR-09 — Đăng ký từ nhiều nguồn</w:t>
      </w:r>
    </w:p>
    <w:p>
      <w:pPr>
        <w:spacing w:after="60"/>
      </w:pPr>
      <w:r>
        <w:t>Hệ thống nhập danh sách học viên từ biểu mẫu, tệp CSV/XLSX hoặc tích hợp hệ thống khác. Dữ liệu phải chuẩn hóa mã học viên, email và mã lớp; bản ghi trùng được đánh dấu để xử lý, không tự ý tạo tài khoản trùng.</w:t>
      </w:r>
    </w:p>
    <w:p>
      <w:pPr>
        <w:pStyle w:val="Heading2"/>
      </w:pPr>
      <w:r>
        <w:t>3.10 FR-10 — Báo cáo và nhật ký</w:t>
      </w:r>
    </w:p>
    <w:p>
      <w:pPr>
        <w:spacing w:after="60"/>
      </w:pPr>
      <w:r>
        <w:t>Giảng viên xem báo cáo tham dự, thời lượng, điểm chuyên cần và danh sách ngoại lệ. Quản trị viên tra cứu nhật ký theo mã lớp, người thực hiện và thời gian; dữ liệu xuất phải giới hạn theo vai trò.</w:t>
      </w:r>
    </w:p>
    <w:p>
      <w:pPr>
        <w:pStyle w:val="Heading1"/>
      </w:pPr>
      <w:r>
        <w:t>4. Quy tắc nghiệp vụ và dữ liệu</w:t>
      </w:r>
    </w:p>
    <w:p>
      <w:pPr>
        <w:pStyle w:val="Heading2"/>
      </w:pPr>
      <w:r>
        <w:t>4.1 Quy tắc nghiệp vụ</w:t>
      </w:r>
    </w:p>
    <w:tbl>
      <w:tblPr>
        <w:tblStyle w:val="TableGrid"/>
        <w:tblW w:type="auto" w:w="0"/>
        <w:tblLook w:firstColumn="1" w:firstRow="1" w:lastColumn="0" w:lastRow="0" w:noHBand="0" w:noVBand="1" w:val="04A0"/>
      </w:tblPr>
      <w:tblGrid>
        <w:gridCol w:w="4997"/>
        <w:gridCol w:w="4997"/>
      </w:tblGrid>
      <w:tr>
        <w:tc>
          <w:tcPr>
            <w:tcW w:type="dxa" w:w="4997"/>
            <w:shd w:fill="17365D"/>
          </w:tcPr>
          <w:p>
            <w:r>
              <w:rPr>
                <w:b/>
                <w:color w:val="FFFFFF"/>
                <w:sz w:val="16"/>
              </w:rPr>
              <w:t>Mã</w:t>
            </w:r>
          </w:p>
        </w:tc>
        <w:tc>
          <w:tcPr>
            <w:tcW w:type="dxa" w:w="4997"/>
            <w:shd w:fill="17365D"/>
          </w:tcPr>
          <w:p>
            <w:r>
              <w:rPr>
                <w:b/>
                <w:color w:val="FFFFFF"/>
                <w:sz w:val="16"/>
              </w:rPr>
              <w:t>Quy tắc</w:t>
            </w:r>
          </w:p>
        </w:tc>
      </w:tr>
      <w:tr>
        <w:tc>
          <w:tcPr>
            <w:tcW w:type="dxa" w:w="4997"/>
          </w:tcPr>
          <w:p>
            <w:r>
              <w:rPr>
                <w:sz w:val="16"/>
              </w:rPr>
              <w:t>BR-01</w:t>
            </w:r>
          </w:p>
        </w:tc>
        <w:tc>
          <w:tcPr>
            <w:tcW w:type="dxa" w:w="4997"/>
          </w:tcPr>
          <w:p>
            <w:r>
              <w:rPr>
                <w:sz w:val="16"/>
              </w:rPr>
              <w:t>Chỉ người dùng có quyền mới được vào lớp và xem tài liệu.</w:t>
            </w:r>
          </w:p>
        </w:tc>
      </w:tr>
      <w:tr>
        <w:tc>
          <w:tcPr>
            <w:tcW w:type="dxa" w:w="4997"/>
          </w:tcPr>
          <w:p>
            <w:r>
              <w:rPr>
                <w:sz w:val="16"/>
              </w:rPr>
              <w:t>BR-02</w:t>
            </w:r>
          </w:p>
        </w:tc>
        <w:tc>
          <w:tcPr>
            <w:tcW w:type="dxa" w:w="4997"/>
          </w:tcPr>
          <w:p>
            <w:r>
              <w:rPr>
                <w:sz w:val="16"/>
              </w:rPr>
              <w:t>Một học viên chỉ có một bản ghi ghi danh hiệu lực cho cùng mã lớp.</w:t>
            </w:r>
          </w:p>
        </w:tc>
      </w:tr>
      <w:tr>
        <w:tc>
          <w:tcPr>
            <w:tcW w:type="dxa" w:w="4997"/>
          </w:tcPr>
          <w:p>
            <w:r>
              <w:rPr>
                <w:sz w:val="16"/>
              </w:rPr>
              <w:t>BR-03</w:t>
            </w:r>
          </w:p>
        </w:tc>
        <w:tc>
          <w:tcPr>
            <w:tcW w:type="dxa" w:w="4997"/>
          </w:tcPr>
          <w:p>
            <w:r>
              <w:rPr>
                <w:sz w:val="16"/>
              </w:rPr>
              <w:t>Điểm chuyên cần nằm trong khoảng 0–10; mọi chỉnh sửa cần lý do.</w:t>
            </w:r>
          </w:p>
        </w:tc>
      </w:tr>
      <w:tr>
        <w:tc>
          <w:tcPr>
            <w:tcW w:type="dxa" w:w="4997"/>
          </w:tcPr>
          <w:p>
            <w:r>
              <w:rPr>
                <w:sz w:val="16"/>
              </w:rPr>
              <w:t>BR-04</w:t>
            </w:r>
          </w:p>
        </w:tc>
        <w:tc>
          <w:tcPr>
            <w:tcW w:type="dxa" w:w="4997"/>
          </w:tcPr>
          <w:p>
            <w:r>
              <w:rPr>
                <w:sz w:val="16"/>
              </w:rPr>
              <w:t>Thời điểm lưu theo định dạng thống nhất; hiển thị theo múi giờ người dùng.</w:t>
            </w:r>
          </w:p>
        </w:tc>
      </w:tr>
      <w:tr>
        <w:tc>
          <w:tcPr>
            <w:tcW w:type="dxa" w:w="4997"/>
          </w:tcPr>
          <w:p>
            <w:r>
              <w:rPr>
                <w:sz w:val="16"/>
              </w:rPr>
              <w:t>BR-05</w:t>
            </w:r>
          </w:p>
        </w:tc>
        <w:tc>
          <w:tcPr>
            <w:tcW w:type="dxa" w:w="4997"/>
          </w:tcPr>
          <w:p>
            <w:r>
              <w:rPr>
                <w:sz w:val="16"/>
              </w:rPr>
              <w:t>Dữ liệu nhập lỗi phải được báo theo dòng và trường, không âm thầm bỏ qua.</w:t>
            </w:r>
          </w:p>
        </w:tc>
      </w:tr>
    </w:tbl>
    <w:p/>
    <w:p>
      <w:pPr>
        <w:pStyle w:val="Heading2"/>
      </w:pPr>
      <w:r>
        <w:t>4.2 Trường dữ liệu cốt lõi</w:t>
      </w:r>
    </w:p>
    <w:p>
      <w:pPr>
        <w:spacing w:after="60"/>
      </w:pPr>
      <w:r>
        <w:t>Các thực thể chính gồm User, Course, ClassSession, Enrollment, Attendance, ChatMessage và Resource. Mỗi thực thể có khóa định danh; mã học viên/mã lớp là trường tham chiếu, không dùng tên hiển thị làm khóa chính.</w:t>
      </w:r>
    </w:p>
    <w:p>
      <w:pPr>
        <w:pStyle w:val="Heading1"/>
      </w:pPr>
      <w:r>
        <w:t>5. Yêu cầu phi chức năng</w:t>
      </w:r>
    </w:p>
    <w:p>
      <w:pPr>
        <w:pStyle w:val="Heading2"/>
      </w:pPr>
      <w:r>
        <w:t>5.1 Hiệu năng và khả dụng</w:t>
      </w:r>
    </w:p>
    <w:p>
      <w:pPr>
        <w:spacing w:after="60"/>
      </w:pPr>
      <w:r>
        <w:t>Mục tiêu đề xuất: 95% thao tác xem lịch phản hồi trong 2 giây; phòng học hỗ trợ quy mô theo cấu hình lớp; nếu một dịch vụ phụ thuộc không khả dụng, hệ thống phải báo trạng thái và ghi log để điều tra.</w:t>
      </w:r>
    </w:p>
    <w:p>
      <w:pPr>
        <w:pStyle w:val="Heading2"/>
      </w:pPr>
      <w:r>
        <w:t>5.2 Bảo mật và quyền riêng tư</w:t>
      </w:r>
    </w:p>
    <w:p>
      <w:pPr>
        <w:spacing w:after="60"/>
      </w:pPr>
      <w:r>
        <w:t>Dữ liệu truyền qua kết nối mã hóa; quyền theo vai trò; liên kết lớp có thời hạn hoặc kiểm soát truy cập; dữ liệu ghi hình và chat chỉ người có quyền được xem. Không ghi mật khẩu, token hoặc bí mật tích hợp vào log.</w:t>
      </w:r>
    </w:p>
    <w:p>
      <w:pPr>
        <w:pStyle w:val="Heading2"/>
      </w:pPr>
      <w:r>
        <w:t>5.3 Khả năng sử dụng và tương thích</w:t>
      </w:r>
    </w:p>
    <w:p>
      <w:pPr>
        <w:spacing w:after="60"/>
      </w:pPr>
      <w:r>
        <w:t>Giao diện phải có nhãn rõ ràng, hỗ trợ bàn phím cho thao tác chính và hiển thị thông báo lỗi có hướng xử lý. Tính năng cốt lõi cần hoạt động trên trình duyệt phổ biến và màn hình máy tính/laptop.</w:t>
      </w:r>
    </w:p>
    <w:p>
      <w:pPr>
        <w:pStyle w:val="Heading1"/>
      </w:pPr>
      <w:r>
        <w:t>6. Tiêu chí nghiệm thu</w:t>
      </w:r>
    </w:p>
    <w:tbl>
      <w:tblPr>
        <w:tblStyle w:val="TableGrid"/>
        <w:tblW w:type="auto" w:w="0"/>
        <w:tblLook w:firstColumn="1" w:firstRow="1" w:lastColumn="0" w:lastRow="0" w:noHBand="0" w:noVBand="1" w:val="04A0"/>
      </w:tblPr>
      <w:tblGrid>
        <w:gridCol w:w="3331"/>
        <w:gridCol w:w="3331"/>
        <w:gridCol w:w="3331"/>
      </w:tblGrid>
      <w:tr>
        <w:tc>
          <w:tcPr>
            <w:tcW w:type="dxa" w:w="3331"/>
            <w:shd w:fill="17365D"/>
          </w:tcPr>
          <w:p>
            <w:r>
              <w:rPr>
                <w:b/>
                <w:color w:val="FFFFFF"/>
                <w:sz w:val="16"/>
              </w:rPr>
              <w:t>ID</w:t>
            </w:r>
          </w:p>
        </w:tc>
        <w:tc>
          <w:tcPr>
            <w:tcW w:type="dxa" w:w="3331"/>
            <w:shd w:fill="17365D"/>
          </w:tcPr>
          <w:p>
            <w:r>
              <w:rPr>
                <w:b/>
                <w:color w:val="FFFFFF"/>
                <w:sz w:val="16"/>
              </w:rPr>
              <w:t>Ca kiểm thử</w:t>
            </w:r>
          </w:p>
        </w:tc>
        <w:tc>
          <w:tcPr>
            <w:tcW w:type="dxa" w:w="3331"/>
            <w:shd w:fill="17365D"/>
          </w:tcPr>
          <w:p>
            <w:r>
              <w:rPr>
                <w:b/>
                <w:color w:val="FFFFFF"/>
                <w:sz w:val="16"/>
              </w:rPr>
              <w:t>Kết quả mong đợi</w:t>
            </w:r>
          </w:p>
        </w:tc>
      </w:tr>
      <w:tr>
        <w:tc>
          <w:tcPr>
            <w:tcW w:type="dxa" w:w="3331"/>
          </w:tcPr>
          <w:p>
            <w:r>
              <w:rPr>
                <w:sz w:val="16"/>
              </w:rPr>
              <w:t>AT-01</w:t>
            </w:r>
          </w:p>
        </w:tc>
        <w:tc>
          <w:tcPr>
            <w:tcW w:type="dxa" w:w="3331"/>
          </w:tcPr>
          <w:p>
            <w:r>
              <w:rPr>
                <w:sz w:val="16"/>
              </w:rPr>
              <w:t>Giảng viên tạo lớp với dữ liệu hợp lệ</w:t>
            </w:r>
          </w:p>
        </w:tc>
        <w:tc>
          <w:tcPr>
            <w:tcW w:type="dxa" w:w="3331"/>
          </w:tcPr>
          <w:p>
            <w:r>
              <w:rPr>
                <w:sz w:val="16"/>
              </w:rPr>
              <w:t>Lớp được lưu và hiển thị trong lịch.</w:t>
            </w:r>
          </w:p>
        </w:tc>
      </w:tr>
      <w:tr>
        <w:tc>
          <w:tcPr>
            <w:tcW w:type="dxa" w:w="3331"/>
          </w:tcPr>
          <w:p>
            <w:r>
              <w:rPr>
                <w:sz w:val="16"/>
              </w:rPr>
              <w:t>AT-02</w:t>
            </w:r>
          </w:p>
        </w:tc>
        <w:tc>
          <w:tcPr>
            <w:tcW w:type="dxa" w:w="3331"/>
          </w:tcPr>
          <w:p>
            <w:r>
              <w:rPr>
                <w:sz w:val="16"/>
              </w:rPr>
              <w:t>Học viên chưa được ghi danh mở link lớp</w:t>
            </w:r>
          </w:p>
        </w:tc>
        <w:tc>
          <w:tcPr>
            <w:tcW w:type="dxa" w:w="3331"/>
          </w:tcPr>
          <w:p>
            <w:r>
              <w:rPr>
                <w:sz w:val="16"/>
              </w:rPr>
              <w:t>Bị từ chối và không lộ dữ liệu lớp.</w:t>
            </w:r>
          </w:p>
        </w:tc>
      </w:tr>
      <w:tr>
        <w:tc>
          <w:tcPr>
            <w:tcW w:type="dxa" w:w="3331"/>
          </w:tcPr>
          <w:p>
            <w:r>
              <w:rPr>
                <w:sz w:val="16"/>
              </w:rPr>
              <w:t>AT-03</w:t>
            </w:r>
          </w:p>
        </w:tc>
        <w:tc>
          <w:tcPr>
            <w:tcW w:type="dxa" w:w="3331"/>
          </w:tcPr>
          <w:p>
            <w:r>
              <w:rPr>
                <w:sz w:val="16"/>
              </w:rPr>
              <w:t>Nhập CSV có email/mã học viên trùng</w:t>
            </w:r>
          </w:p>
        </w:tc>
        <w:tc>
          <w:tcPr>
            <w:tcW w:type="dxa" w:w="3331"/>
          </w:tcPr>
          <w:p>
            <w:r>
              <w:rPr>
                <w:sz w:val="16"/>
              </w:rPr>
              <w:t>Dòng trùng được báo rõ để xử lý.</w:t>
            </w:r>
          </w:p>
        </w:tc>
      </w:tr>
      <w:tr>
        <w:tc>
          <w:tcPr>
            <w:tcW w:type="dxa" w:w="3331"/>
          </w:tcPr>
          <w:p>
            <w:r>
              <w:rPr>
                <w:sz w:val="16"/>
              </w:rPr>
              <w:t>AT-04</w:t>
            </w:r>
          </w:p>
        </w:tc>
        <w:tc>
          <w:tcPr>
            <w:tcW w:type="dxa" w:w="3331"/>
          </w:tcPr>
          <w:p>
            <w:r>
              <w:rPr>
                <w:sz w:val="16"/>
              </w:rPr>
              <w:t>Học viên vào/ra lớp nhiều lần</w:t>
            </w:r>
          </w:p>
        </w:tc>
        <w:tc>
          <w:tcPr>
            <w:tcW w:type="dxa" w:w="3331"/>
          </w:tcPr>
          <w:p>
            <w:r>
              <w:rPr>
                <w:sz w:val="16"/>
              </w:rPr>
              <w:t>Thời lượng và chuyên cần tính theo quy tắc đã cấu hình.</w:t>
            </w:r>
          </w:p>
        </w:tc>
      </w:tr>
      <w:tr>
        <w:tc>
          <w:tcPr>
            <w:tcW w:type="dxa" w:w="3331"/>
          </w:tcPr>
          <w:p>
            <w:r>
              <w:rPr>
                <w:sz w:val="16"/>
              </w:rPr>
              <w:t>AT-05</w:t>
            </w:r>
          </w:p>
        </w:tc>
        <w:tc>
          <w:tcPr>
            <w:tcW w:type="dxa" w:w="3331"/>
          </w:tcPr>
          <w:p>
            <w:r>
              <w:rPr>
                <w:sz w:val="16"/>
              </w:rPr>
              <w:t>Người không có quyền truy cập bản ghi</w:t>
            </w:r>
          </w:p>
        </w:tc>
        <w:tc>
          <w:tcPr>
            <w:tcW w:type="dxa" w:w="3331"/>
          </w:tcPr>
          <w:p>
            <w:r>
              <w:rPr>
                <w:sz w:val="16"/>
              </w:rPr>
              <w:t>Hệ thống từ chối và ghi nhận sự kiện cần thiết.</w:t>
            </w:r>
          </w:p>
        </w:tc>
      </w:tr>
    </w:tbl>
    <w:p/>
    <w:p>
      <w:pPr>
        <w:pStyle w:val="Heading1"/>
      </w:pPr>
      <w:r>
        <w:t>7. Rủi ro, giả định và phê duyệt</w:t>
      </w:r>
    </w:p>
    <w:p>
      <w:pPr>
        <w:spacing w:after="60"/>
      </w:pPr>
      <w:r>
        <w:t>Rủi ro gồm mạng yếu, gián đoạn dịch vụ video, nhập dữ liệu sai định dạng và truy cập trái phép. Biện pháp gồm thử kết nối lại, báo lỗi theo dòng, kiểm soát quyền tối thiểu và lưu nhật ký. Các thông số như giới hạn người tham gia, dung lượng tệp và thời hạn lưu cần được chủ sản phẩm phê duyệt.</w:t>
      </w:r>
    </w:p>
    <w:p>
      <w:pPr>
        <w:pStyle w:val="Heading2"/>
      </w:pPr>
      <w:r>
        <w:t>7.1 Lịch sử phiên bản</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fill="17365D"/>
          </w:tcPr>
          <w:p>
            <w:r>
              <w:rPr>
                <w:b/>
                <w:color w:val="FFFFFF"/>
                <w:sz w:val="16"/>
              </w:rPr>
              <w:t>Phiên bản</w:t>
            </w:r>
          </w:p>
        </w:tc>
        <w:tc>
          <w:tcPr>
            <w:tcW w:type="dxa" w:w="2498"/>
            <w:shd w:fill="17365D"/>
          </w:tcPr>
          <w:p>
            <w:r>
              <w:rPr>
                <w:b/>
                <w:color w:val="FFFFFF"/>
                <w:sz w:val="16"/>
              </w:rPr>
              <w:t>Ngày</w:t>
            </w:r>
          </w:p>
        </w:tc>
        <w:tc>
          <w:tcPr>
            <w:tcW w:type="dxa" w:w="2498"/>
            <w:shd w:fill="17365D"/>
          </w:tcPr>
          <w:p>
            <w:r>
              <w:rPr>
                <w:b/>
                <w:color w:val="FFFFFF"/>
                <w:sz w:val="16"/>
              </w:rPr>
              <w:t>Mô tả</w:t>
            </w:r>
          </w:p>
        </w:tc>
        <w:tc>
          <w:tcPr>
            <w:tcW w:type="dxa" w:w="2498"/>
            <w:shd w:fill="17365D"/>
          </w:tcPr>
          <w:p>
            <w:r>
              <w:rPr>
                <w:b/>
                <w:color w:val="FFFFFF"/>
                <w:sz w:val="16"/>
              </w:rPr>
              <w:t>Trạng thái</w:t>
            </w:r>
          </w:p>
        </w:tc>
      </w:tr>
      <w:tr>
        <w:tc>
          <w:tcPr>
            <w:tcW w:type="dxa" w:w="2498"/>
          </w:tcPr>
          <w:p>
            <w:r>
              <w:rPr>
                <w:sz w:val="16"/>
              </w:rPr>
              <w:t>1.0</w:t>
            </w:r>
          </w:p>
        </w:tc>
        <w:tc>
          <w:tcPr>
            <w:tcW w:type="dxa" w:w="2498"/>
          </w:tcPr>
          <w:p>
            <w:r>
              <w:rPr>
                <w:sz w:val="16"/>
              </w:rPr>
              <w:t>27/10/2026</w:t>
            </w:r>
          </w:p>
        </w:tc>
        <w:tc>
          <w:tcPr>
            <w:tcW w:type="dxa" w:w="2498"/>
          </w:tcPr>
          <w:p>
            <w:r>
              <w:rPr>
                <w:sz w:val="16"/>
              </w:rPr>
              <w:t>Tạo khung SRS module Lớp học ảo với 10 tiêu đề Heading 2 trong nhóm Functional Requirements.</w:t>
            </w:r>
          </w:p>
        </w:tc>
        <w:tc>
          <w:tcPr>
            <w:tcW w:type="dxa" w:w="2498"/>
          </w:tcPr>
          <w:p>
            <w:r>
              <w:rPr>
                <w:sz w:val="16"/>
              </w:rPr>
              <w:t>Chờ rà soát</w:t>
            </w:r>
          </w:p>
        </w:tc>
      </w:tr>
    </w:tbl>
    <w:p/>
    <w:p>
      <w:pPr>
        <w:spacing w:after="60"/>
      </w:pPr>
      <w:r>
        <w:t>Mục lục tự động: mở file trong Microsoft Word, chọn References → Table of Contents → Update Table → Update entire table trước khi lưu/nộp. Navigation Pane mở bằng Ctrl+F và chọn tab Headings.</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PTIT-Learning • Module Lớp học ảo • SRS v1.0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PTIT-LEARNING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70C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