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SOFTWARE REQUIREMENTS SPECIFICATION (SRS)</w:t>
      </w:r>
    </w:p>
    <w:p>
      <w:pPr>
        <w:jc w:val="center"/>
      </w:pPr>
      <w:r>
        <w:rPr>
          <w:b/>
          <w:sz w:val="30"/>
        </w:rPr>
        <w:t>Module: Bệnh án điện tử | Clinic-Cloud</w:t>
      </w:r>
    </w:p>
    <w:p>
      <w:pPr>
        <w:jc w:val="center"/>
      </w:pPr>
      <w:r>
        <w:rPr>
          <w:i/>
        </w:rPr>
        <w:t>Bài tập Session 10 – Ex04</w:t>
      </w:r>
    </w:p>
    <w:p>
      <w:pPr>
        <w:pStyle w:val="Heading1"/>
      </w:pPr>
      <w:r>
        <w:t>Thông tin tài liệu</w:t>
      </w:r>
    </w:p>
    <w:tbl>
      <w:tblPr>
        <w:tblStyle w:val="LightShading-Accent1"/>
        <w:tblW w:type="auto" w:w="0"/>
        <w:tblLook w:firstColumn="1" w:firstRow="1" w:lastColumn="0" w:lastRow="0" w:noHBand="0" w:noVBand="1" w:val="04A0"/>
      </w:tblPr>
      <w:tblGrid>
        <w:gridCol w:w="4968"/>
        <w:gridCol w:w="4968"/>
      </w:tblGrid>
      <w:tr>
        <w:tc>
          <w:tcPr>
            <w:tcW w:type="dxa" w:w="4968"/>
          </w:tcPr>
          <w:p>
            <w:r>
              <w:t>Tên hệ thống</w:t>
            </w:r>
          </w:p>
        </w:tc>
        <w:tc>
          <w:tcPr>
            <w:tcW w:type="dxa" w:w="4968"/>
          </w:tcPr>
          <w:p>
            <w:r>
              <w:t>Clinic-Cloud – Hệ thống quản lý phòng khám</w:t>
            </w:r>
          </w:p>
        </w:tc>
      </w:tr>
      <w:tr>
        <w:tc>
          <w:tcPr>
            <w:tcW w:type="dxa" w:w="4968"/>
          </w:tcPr>
          <w:p>
            <w:r>
              <w:t>Phạm vi</w:t>
            </w:r>
          </w:p>
        </w:tc>
        <w:tc>
          <w:tcPr>
            <w:tcW w:type="dxa" w:w="4968"/>
          </w:tcPr>
          <w:p>
            <w:r>
              <w:t>Quản lý hồ sơ bệnh nhân và bệnh án điện tử</w:t>
            </w:r>
          </w:p>
        </w:tc>
      </w:tr>
      <w:tr>
        <w:tc>
          <w:tcPr>
            <w:tcW w:type="dxa" w:w="4968"/>
          </w:tcPr>
          <w:p>
            <w:r>
              <w:t>Phiên bản</w:t>
            </w:r>
          </w:p>
        </w:tc>
        <w:tc>
          <w:tcPr>
            <w:tcW w:type="dxa" w:w="4968"/>
          </w:tcPr>
          <w:p>
            <w:r>
              <w:t>1.0 – Bản mẫu học tập</w:t>
            </w:r>
          </w:p>
        </w:tc>
      </w:tr>
      <w:tr>
        <w:tc>
          <w:tcPr>
            <w:tcW w:type="dxa" w:w="4968"/>
          </w:tcPr>
          <w:p>
            <w:r>
              <w:t>Người thực hiện</w:t>
            </w:r>
          </w:p>
        </w:tc>
        <w:tc>
          <w:tcPr>
            <w:tcW w:type="dxa" w:w="4968"/>
          </w:tcPr>
          <w:p>
            <w:r>
              <w:t>[Họ và tên]</w:t>
            </w:r>
          </w:p>
        </w:tc>
      </w:tr>
      <w:tr>
        <w:tc>
          <w:tcPr>
            <w:tcW w:type="dxa" w:w="4968"/>
          </w:tcPr>
          <w:p>
            <w:r>
              <w:t>Lớp / Môn học</w:t>
            </w:r>
          </w:p>
        </w:tc>
        <w:tc>
          <w:tcPr>
            <w:tcW w:type="dxa" w:w="4968"/>
          </w:tcPr>
          <w:p>
            <w:r>
              <w:t>[Tên lớp] / [Môn học]</w:t>
            </w:r>
          </w:p>
        </w:tc>
      </w:tr>
      <w:tr>
        <w:tc>
          <w:tcPr>
            <w:tcW w:type="dxa" w:w="4968"/>
          </w:tcPr>
          <w:p>
            <w:r>
              <w:t>Ngày</w:t>
            </w:r>
          </w:p>
        </w:tc>
        <w:tc>
          <w:tcPr>
            <w:tcW w:type="dxa" w:w="4968"/>
          </w:tcPr>
          <w:p>
            <w:r>
              <w:t>27/10/2026</w:t>
            </w:r>
          </w:p>
        </w:tc>
      </w:tr>
      <w:tr>
        <w:tc>
          <w:tcPr>
            <w:tcW w:type="dxa" w:w="4968"/>
          </w:tcPr>
          <w:p>
            <w:r>
              <w:t>Trạng thái</w:t>
            </w:r>
          </w:p>
        </w:tc>
        <w:tc>
          <w:tcPr>
            <w:tcW w:type="dxa" w:w="4968"/>
          </w:tcPr>
          <w:p>
            <w:r>
              <w:t>Draft – cần rà soát trước khi triển khai thực tế</w:t>
            </w:r>
          </w:p>
        </w:tc>
      </w:tr>
    </w:tbl>
    <w:p>
      <w:pPr>
        <w:pStyle w:val="Heading1"/>
      </w:pPr>
      <w:r>
        <w:t>1. Mục tiêu và phạm vi</w:t>
      </w:r>
    </w:p>
    <w:p>
      <w:r>
        <w:t>Tài liệu mô tả yêu cầu cho module Bệnh án điện tử của Clinic-Cloud, tập trung vào lưu trữ, tra cứu, cập nhật và bảo vệ dữ liệu bệnh nhân. Đây là đặc tả mẫu phục vụ học tập, không thay thế đánh giá pháp lý, an toàn thông tin hoặc thẩm định lâm sàng trước khi sử dụng thực tế.</w:t>
      </w:r>
    </w:p>
    <w:p>
      <w:pPr>
        <w:pStyle w:val="Heading2"/>
      </w:pPr>
      <w:r>
        <w:t>1.1 Mục tiêu</w:t>
      </w:r>
    </w:p>
    <w:p>
      <w:pPr>
        <w:pStyle w:val="ListBullet"/>
      </w:pPr>
      <w:r>
        <w:t>Chuẩn hóa hồ sơ bệnh nhân và bệnh án theo một mã định danh duy nhất.</w:t>
      </w:r>
    </w:p>
    <w:p>
      <w:pPr>
        <w:pStyle w:val="ListBullet"/>
      </w:pPr>
      <w:r>
        <w:t>Cho phép nhân viên được phân quyền tra cứu và cập nhật hồ sơ phục vụ khám chữa bệnh.</w:t>
      </w:r>
    </w:p>
    <w:p>
      <w:pPr>
        <w:pStyle w:val="ListBullet"/>
      </w:pPr>
      <w:r>
        <w:t>Đảm bảo tính bí mật, toàn vẹn, sẵn sàng và khả năng truy vết đối với dữ liệu y tế.</w:t>
      </w:r>
    </w:p>
    <w:p>
      <w:pPr>
        <w:pStyle w:val="ListBullet"/>
      </w:pPr>
      <w:r>
        <w:t>Quản lý danh mục dữ liệu quy mô 1.000 hồ sơ bằng bảng tính có cấu trúc dữ liệu rõ ràng.</w:t>
      </w:r>
    </w:p>
    <w:p>
      <w:pPr>
        <w:pStyle w:val="Heading2"/>
      </w:pPr>
      <w:r>
        <w:t>1.2 Ngoài phạm vi</w:t>
      </w:r>
    </w:p>
    <w:p>
      <w:r>
        <w:t>Không bao gồm chẩn đoán tự động, kê đơn điện tử tích hợp nhà thuốc, thanh toán bảo hiểm hoặc kết nối hệ thống bên thứ ba chưa được phê duyệt.</w:t>
      </w:r>
    </w:p>
    <w:p>
      <w:pPr>
        <w:pStyle w:val="Heading1"/>
      </w:pPr>
      <w:r>
        <w:t>2. Các bên liên quan và vai trò</w:t>
      </w:r>
    </w:p>
    <w:p>
      <w:pPr>
        <w:pStyle w:val="ListBullet"/>
      </w:pPr>
      <w:r>
        <w:t>Tiếp đón: tạo hồ sơ hành chính, kiểm tra trùng mã bệnh nhân.</w:t>
      </w:r>
    </w:p>
    <w:p>
      <w:pPr>
        <w:pStyle w:val="ListBullet"/>
      </w:pPr>
      <w:r>
        <w:t>Bác sĩ: xem thông tin cần thiết, ghi nhận khám, chẩn đoán và kế hoạch điều trị.</w:t>
      </w:r>
    </w:p>
    <w:p>
      <w:pPr>
        <w:pStyle w:val="ListBullet"/>
      </w:pPr>
      <w:r>
        <w:t>Điều dưỡng: cập nhật chỉ số sinh tồn và ghi nhận chăm sóc theo phạm vi được cấp.</w:t>
      </w:r>
    </w:p>
    <w:p>
      <w:pPr>
        <w:pStyle w:val="ListBullet"/>
      </w:pPr>
      <w:r>
        <w:t>Quản trị hệ thống: quản lý tài khoản, vai trò, cấu hình và giám sát nhật ký; không mặc nhiên được quyền đọc mọi nội dung lâm sàng.</w:t>
      </w:r>
    </w:p>
    <w:p>
      <w:pPr>
        <w:pStyle w:val="ListBullet"/>
      </w:pPr>
      <w:r>
        <w:t>Bệnh nhân: có thể được cung cấp bản sao hồ sơ theo quy trình xác minh và quy định áp dụng.</w:t>
      </w:r>
    </w:p>
    <w:p>
      <w:pPr>
        <w:pStyle w:val="Heading1"/>
      </w:pPr>
      <w:r>
        <w:t>3. Yêu cầu chức năng (Functional Requirements)</w:t>
      </w:r>
    </w:p>
    <w:p>
      <w:pPr>
        <w:pStyle w:val="Heading2"/>
      </w:pPr>
      <w:r>
        <w:t>FR-01 – Quản lý bệnh nhân</w:t>
      </w:r>
    </w:p>
    <w:p>
      <w:r>
        <w:t>Tạo, xem, cập nhật hồ sơ hành chính; gán PatientID duy nhất; phát hiện khả năng trùng hồ sơ trước khi lưu.</w:t>
      </w:r>
    </w:p>
    <w:p>
      <w:pPr>
        <w:pStyle w:val="Heading2"/>
      </w:pPr>
      <w:r>
        <w:t>FR-02 – Tiếp nhận khám</w:t>
      </w:r>
    </w:p>
    <w:p>
      <w:r>
        <w:t>Tạo EncounterID cho mỗi lần khám, liên kết với PatientID và ghi nhận thời gian, cơ sở, người phụ trách.</w:t>
      </w:r>
    </w:p>
    <w:p>
      <w:pPr>
        <w:pStyle w:val="Heading2"/>
      </w:pPr>
      <w:r>
        <w:t>FR-03 – Bệnh án điện tử</w:t>
      </w:r>
    </w:p>
    <w:p>
      <w:r>
        <w:t>Bác sĩ có quyền ghi nhận triệu chứng, tiền sử, dị ứng, khám lâm sàng, chẩn đoán, chỉ định và kế hoạch điều trị.</w:t>
      </w:r>
    </w:p>
    <w:p>
      <w:pPr>
        <w:pStyle w:val="Heading2"/>
      </w:pPr>
      <w:r>
        <w:t>FR-04 – Tìm kiếm và lọc</w:t>
      </w:r>
    </w:p>
    <w:p>
      <w:r>
        <w:t>Tìm theo PatientID, họ tên hoặc tiêu chí được phép; kết quả chỉ hiển thị trường dữ liệu phù hợp với vai trò.</w:t>
      </w:r>
    </w:p>
    <w:p>
      <w:pPr>
        <w:pStyle w:val="Heading2"/>
      </w:pPr>
      <w:r>
        <w:t>FR-05 – Lịch sử và phiên bản</w:t>
      </w:r>
    </w:p>
    <w:p>
      <w:r>
        <w:t>Lưu người tạo/sửa, thời điểm, phiên bản và lý do sửa các nội dung lâm sàng quan trọng; không xóa dấu vết sửa đổi.</w:t>
      </w:r>
    </w:p>
    <w:p>
      <w:pPr>
        <w:pStyle w:val="Heading2"/>
      </w:pPr>
      <w:r>
        <w:t>FR-06 – Xuất hồ sơ</w:t>
      </w:r>
    </w:p>
    <w:p>
      <w:r>
        <w:t>Cho phép xuất hoặc in hồ sơ theo quyền, ghi nhật ký hành động và áp dụng quy trình xác minh trước khi chia sẻ.</w:t>
      </w:r>
    </w:p>
    <w:p>
      <w:pPr>
        <w:pStyle w:val="Heading2"/>
      </w:pPr>
      <w:r>
        <w:t>FR-07 – Báo cáo dịch bệnh</w:t>
      </w:r>
    </w:p>
    <w:p>
      <w:r>
        <w:t>Tổng hợp số ca theo bệnh, thời gian và nhóm phân tích; hiển thị biểu đồ Donut có nhãn, tổng số và ngày cập nhật.</w:t>
      </w:r>
    </w:p>
    <w:p>
      <w:pPr>
        <w:pStyle w:val="Heading2"/>
      </w:pPr>
      <w:r>
        <w:t>FR-08 – Quản lý tài khoản</w:t>
      </w:r>
    </w:p>
    <w:p>
      <w:r>
        <w:t>Tạo, khóa, thu hồi tài khoản; gán vai trò theo nhiệm vụ; hỗ trợ chấm dứt phiên khi nhân viên nghỉ việc.</w:t>
      </w:r>
    </w:p>
    <w:p>
      <w:pPr>
        <w:pStyle w:val="Heading2"/>
      </w:pPr>
      <w:r>
        <w:t>FR-09 – Kiểm tra dữ liệu</w:t>
      </w:r>
    </w:p>
    <w:p>
      <w:r>
        <w:t>Kiểm tra định dạng, trường bắt buộc, tính hợp lệ ngày tháng và liên kết PatientID/EncounterID trước khi ghi.</w:t>
      </w:r>
    </w:p>
    <w:p>
      <w:pPr>
        <w:pStyle w:val="Heading1"/>
      </w:pPr>
      <w:r>
        <w:t>4. Yêu cầu phi chức năng (Non-functional Requirements)</w:t>
      </w:r>
    </w:p>
    <w:p>
      <w:pPr>
        <w:pStyle w:val="Heading2"/>
      </w:pPr>
      <w:r>
        <w:t>NFR-01 – Xác thực</w:t>
      </w:r>
    </w:p>
    <w:p>
      <w:r>
        <w:t>Tài khoản cá nhân; mật khẩu được băm bằng thuật toán phù hợp; hỗ trợ MFA cho tài khoản đặc quyền và truy cập từ xa.</w:t>
      </w:r>
    </w:p>
    <w:p>
      <w:pPr>
        <w:pStyle w:val="Heading2"/>
      </w:pPr>
      <w:r>
        <w:t>NFR-02 – Phân quyền</w:t>
      </w:r>
    </w:p>
    <w:p>
      <w:r>
        <w:t>Áp dụng RBAC và nguyên tắc quyền tối thiểu; kiểm tra quyền tại máy chủ cho mọi thao tác đọc, sửa, xuất và xóa.</w:t>
      </w:r>
    </w:p>
    <w:p>
      <w:pPr>
        <w:pStyle w:val="Heading2"/>
      </w:pPr>
      <w:r>
        <w:t>NFR-03 – Mã hóa</w:t>
      </w:r>
    </w:p>
    <w:p>
      <w:r>
        <w:t>Mã hóa dữ liệu khi truyền bằng TLS hiện hành và mã hóa dữ liệu lưu trữ; quản lý khóa tách biệt, giới hạn quyền truy cập khóa.</w:t>
      </w:r>
    </w:p>
    <w:p>
      <w:pPr>
        <w:pStyle w:val="Heading2"/>
      </w:pPr>
      <w:r>
        <w:t>NFR-04 – Nhật ký kiểm toán</w:t>
      </w:r>
    </w:p>
    <w:p>
      <w:r>
        <w:t>Ghi nhận đăng nhập, xem/sửa/xuất dữ liệu nhạy cảm, thay đổi quyền và thao tác quản trị; nhật ký chống sửa trái phép, có thời gian đồng bộ.</w:t>
      </w:r>
    </w:p>
    <w:p>
      <w:pPr>
        <w:pStyle w:val="Heading2"/>
      </w:pPr>
      <w:r>
        <w:t>NFR-05 – Bảo vệ riêng tư</w:t>
      </w:r>
    </w:p>
    <w:p>
      <w:r>
        <w:t>Chỉ thu thập dữ liệu cần thiết; quy định mục đích, thời hạn lưu giữ, quy trình cung cấp/xóa/ẩn danh theo luật áp dụng và chính sách cơ sở.</w:t>
      </w:r>
    </w:p>
    <w:p>
      <w:pPr>
        <w:pStyle w:val="Heading2"/>
      </w:pPr>
      <w:r>
        <w:t>NFR-06 – Sao lưu và khôi phục</w:t>
      </w:r>
    </w:p>
    <w:p>
      <w:r>
        <w:t>Sao lưu mã hóa, kiểm tra khôi phục định kỳ; xác định RPO/RTO với chủ phòng khám. Mục tiêu đề xuất ban đầu: RPO ≤ 24 giờ, RTO ≤ 8 giờ.</w:t>
      </w:r>
    </w:p>
    <w:p>
      <w:pPr>
        <w:pStyle w:val="Heading2"/>
      </w:pPr>
      <w:r>
        <w:t>NFR-07 – Hiệu năng</w:t>
      </w:r>
    </w:p>
    <w:p>
      <w:r>
        <w:t>Mục tiêu kiểm thử: 95% truy vấn tra cứu thông thường phản hồi trong ≤ 2 giây ở tải 100 người dùng đồng thời trên môi trường chuẩn.</w:t>
      </w:r>
    </w:p>
    <w:p>
      <w:pPr>
        <w:pStyle w:val="Heading2"/>
      </w:pPr>
      <w:r>
        <w:t>NFR-08 – Sẵn sàng</w:t>
      </w:r>
    </w:p>
    <w:p>
      <w:r>
        <w:t>Mục tiêu dịch vụ đề xuất 99,5% mỗi tháng, không tính thời gian bảo trì đã thông báo; phải đo bằng giám sát.</w:t>
      </w:r>
    </w:p>
    <w:p>
      <w:pPr>
        <w:pStyle w:val="Heading2"/>
      </w:pPr>
      <w:r>
        <w:t>NFR-09 – Toàn vẹn dữ liệu</w:t>
      </w:r>
    </w:p>
    <w:p>
      <w:r>
        <w:t>Dùng khóa chính/ngoại, ràng buộc miền dữ liệu, giao dịch nguyên tử và kiểm tra tính nhất quán; không dùng họ tên làm khóa.</w:t>
      </w:r>
    </w:p>
    <w:p>
      <w:pPr>
        <w:pStyle w:val="Heading2"/>
      </w:pPr>
      <w:r>
        <w:t>NFR-10 – Bảo mật ứng dụng</w:t>
      </w:r>
    </w:p>
    <w:p>
      <w:r>
        <w:t>Thực hiện rà soát lỗ hổng, kiểm thử bảo mật trước phát hành, vá lỗi theo mức độ rủi ro và quản lý bí mật ngoài mã nguồn.</w:t>
      </w:r>
    </w:p>
    <w:p>
      <w:pPr>
        <w:pStyle w:val="Heading2"/>
      </w:pPr>
      <w:r>
        <w:t>NFR-11 – Khả dụng</w:t>
      </w:r>
    </w:p>
    <w:p>
      <w:r>
        <w:t>Giao diện hỗ trợ tiếng Việt, thông báo lỗi rõ ràng, xác nhận trước hành động không thể hoàn tác và hỗ trợ bàn phím.</w:t>
      </w:r>
    </w:p>
    <w:p>
      <w:pPr>
        <w:pStyle w:val="Heading2"/>
      </w:pPr>
      <w:r>
        <w:t>NFR-12 – Khả năng mở rộng</w:t>
      </w:r>
    </w:p>
    <w:p>
      <w:r>
        <w:t>Hỗ trợ tối thiểu 1.000 hồ sơ trong bài tập; thiết kế dữ liệu có thể mở rộng mà không phụ thuộc vào một bảng tính duy nhất.</w:t>
      </w:r>
    </w:p>
    <w:p>
      <w:pPr>
        <w:pStyle w:val="Heading1"/>
      </w:pPr>
      <w:r>
        <w:t>5. Thiết kế triển khai – Clinic-Cloud tích hợp</w:t>
      </w:r>
    </w:p>
    <w:p>
      <w:r>
        <w:t>Kiến trúc tham khảo gồm giao diện web, API ứng dụng, dịch vụ xác thực/phân quyền, cơ sở dữ liệu quan hệ, kho tệp mã hóa, dịch vụ nhật ký và sao lưu. Không đưa dữ liệu định danh hoặc thông tin sức khỏe thật lên môi trường demo.</w:t>
      </w:r>
    </w:p>
    <w:p>
      <w:pPr>
        <w:pStyle w:val="ListBullet"/>
      </w:pPr>
      <w:r>
        <w:t>Luồng: Người dùng → HTTPS → Web/API → xác thực &amp; RBAC → nghiệp vụ → CSDL/kho tệp.</w:t>
      </w:r>
    </w:p>
    <w:p>
      <w:pPr>
        <w:pStyle w:val="ListBullet"/>
      </w:pPr>
      <w:r>
        <w:t>Tách dữ liệu định danh, dữ liệu lâm sàng và nhật ký theo quyền truy cập; dùng PatientID nội bộ để liên kết.</w:t>
      </w:r>
    </w:p>
    <w:p>
      <w:pPr>
        <w:pStyle w:val="ListBullet"/>
      </w:pPr>
      <w:r>
        <w:t>Tích hợp chỉ qua API có xác thực, phân quyền, giới hạn tốc độ, kiểm tra đầu vào và nhật ký.</w:t>
      </w:r>
    </w:p>
    <w:p>
      <w:pPr>
        <w:pStyle w:val="ListBullet"/>
      </w:pPr>
      <w:r>
        <w:t>Quản lý bí mật bằng secret manager; không lưu mật khẩu, token hoặc khóa mã hóa trong Excel, mã nguồn hay GitHub.</w:t>
      </w:r>
    </w:p>
    <w:p>
      <w:pPr>
        <w:pStyle w:val="ListBullet"/>
      </w:pPr>
      <w:r>
        <w:t>Môi trường dev/test dùng dữ liệu tổng hợp đã giả lập; dữ liệu thật chỉ xử lý theo phê duyệt, hợp đồng và quy định bảo vệ dữ liệu áp dụng.</w:t>
      </w:r>
    </w:p>
    <w:p>
      <w:pPr>
        <w:pStyle w:val="ListBullet"/>
      </w:pPr>
      <w:r>
        <w:t>Đặt lịch kiểm tra khôi phục, rà soát quyền định kỳ, ứng phó sự cố và quy trình thông báo vi phạm.</w:t>
      </w:r>
    </w:p>
    <w:p>
      <w:pPr>
        <w:pStyle w:val="Heading2"/>
      </w:pPr>
      <w:r>
        <w:t>5.1 Ma trận quyền tối thiểu</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Vai trò</w:t>
            </w:r>
          </w:p>
        </w:tc>
        <w:tc>
          <w:tcPr>
            <w:tcW w:type="dxa" w:w="2484"/>
          </w:tcPr>
          <w:p>
            <w:r>
              <w:t>Hồ sơ hành chính</w:t>
            </w:r>
          </w:p>
        </w:tc>
        <w:tc>
          <w:tcPr>
            <w:tcW w:type="dxa" w:w="2484"/>
          </w:tcPr>
          <w:p>
            <w:r>
              <w:t>Nội dung lâm sàng</w:t>
            </w:r>
          </w:p>
        </w:tc>
        <w:tc>
          <w:tcPr>
            <w:tcW w:type="dxa" w:w="2484"/>
          </w:tcPr>
          <w:p>
            <w:r>
              <w:t>Quản trị tài khoản</w:t>
            </w:r>
          </w:p>
        </w:tc>
      </w:tr>
      <w:tr>
        <w:tc>
          <w:tcPr>
            <w:tcW w:type="dxa" w:w="2484"/>
          </w:tcPr>
          <w:p>
            <w:r>
              <w:t>Tiếp đón</w:t>
            </w:r>
          </w:p>
        </w:tc>
        <w:tc>
          <w:tcPr>
            <w:tcW w:type="dxa" w:w="2484"/>
          </w:tcPr>
          <w:p>
            <w:r>
              <w:t>Tạo/đọc/sửa trường được phép</w:t>
            </w:r>
          </w:p>
        </w:tc>
        <w:tc>
          <w:tcPr>
            <w:tcW w:type="dxa" w:w="2484"/>
          </w:tcPr>
          <w:p>
            <w:r>
              <w:t>Không hoặc tối thiểu theo nhiệm vụ</w:t>
            </w:r>
          </w:p>
        </w:tc>
        <w:tc>
          <w:tcPr>
            <w:tcW w:type="dxa" w:w="2484"/>
          </w:tcPr>
          <w:p>
            <w:r>
              <w:t>Không</w:t>
            </w:r>
          </w:p>
        </w:tc>
      </w:tr>
      <w:tr>
        <w:tc>
          <w:tcPr>
            <w:tcW w:type="dxa" w:w="2484"/>
          </w:tcPr>
          <w:p>
            <w:r>
              <w:t>Bác sĩ</w:t>
            </w:r>
          </w:p>
        </w:tc>
        <w:tc>
          <w:tcPr>
            <w:tcW w:type="dxa" w:w="2484"/>
          </w:tcPr>
          <w:p>
            <w:r>
              <w:t>Đọc thông tin cần thiết</w:t>
            </w:r>
          </w:p>
        </w:tc>
        <w:tc>
          <w:tcPr>
            <w:tcW w:type="dxa" w:w="2484"/>
          </w:tcPr>
          <w:p>
            <w:r>
              <w:t>Đọc/ghi theo ca được phân công</w:t>
            </w:r>
          </w:p>
        </w:tc>
        <w:tc>
          <w:tcPr>
            <w:tcW w:type="dxa" w:w="2484"/>
          </w:tcPr>
          <w:p>
            <w:r>
              <w:t>Không</w:t>
            </w:r>
          </w:p>
        </w:tc>
      </w:tr>
      <w:tr>
        <w:tc>
          <w:tcPr>
            <w:tcW w:type="dxa" w:w="2484"/>
          </w:tcPr>
          <w:p>
            <w:r>
              <w:t>Điều dưỡng</w:t>
            </w:r>
          </w:p>
        </w:tc>
        <w:tc>
          <w:tcPr>
            <w:tcW w:type="dxa" w:w="2484"/>
          </w:tcPr>
          <w:p>
            <w:r>
              <w:t>Đọc trường cần thiết</w:t>
            </w:r>
          </w:p>
        </w:tc>
        <w:tc>
          <w:tcPr>
            <w:tcW w:type="dxa" w:w="2484"/>
          </w:tcPr>
          <w:p>
            <w:r>
              <w:t>Ghi phần chăm sóc được phép</w:t>
            </w:r>
          </w:p>
        </w:tc>
        <w:tc>
          <w:tcPr>
            <w:tcW w:type="dxa" w:w="2484"/>
          </w:tcPr>
          <w:p>
            <w:r>
              <w:t>Không</w:t>
            </w:r>
          </w:p>
        </w:tc>
      </w:tr>
      <w:tr>
        <w:tc>
          <w:tcPr>
            <w:tcW w:type="dxa" w:w="2484"/>
          </w:tcPr>
          <w:p>
            <w:r>
              <w:t>Quản trị</w:t>
            </w:r>
          </w:p>
        </w:tc>
        <w:tc>
          <w:tcPr>
            <w:tcW w:type="dxa" w:w="2484"/>
          </w:tcPr>
          <w:p>
            <w:r>
              <w:t>Theo chính sách được phê duyệt</w:t>
            </w:r>
          </w:p>
        </w:tc>
        <w:tc>
          <w:tcPr>
            <w:tcW w:type="dxa" w:w="2484"/>
          </w:tcPr>
          <w:p>
            <w:r>
              <w:t>Không mặc nhiên được đọc</w:t>
            </w:r>
          </w:p>
        </w:tc>
        <w:tc>
          <w:tcPr>
            <w:tcW w:type="dxa" w:w="2484"/>
          </w:tcPr>
          <w:p>
            <w:r>
              <w:t>Quản lý tài khoản/quyền</w:t>
            </w:r>
          </w:p>
        </w:tc>
      </w:tr>
    </w:tbl>
    <w:p>
      <w:pPr>
        <w:pStyle w:val="Heading1"/>
      </w:pPr>
      <w:r>
        <w:t>6. Mô hình dữ liệu và quy tắc Excel</w:t>
      </w:r>
    </w:p>
    <w:p>
      <w:r>
        <w:t>Bảng tính đi kèm là dữ liệu giả lập phục vụ thực hành, không chứa thông tin bệnh nhân thật. Sheet Patients dùng một dòng tiêu đề duy nhất, không gộp ô, không chèn dòng trống bên trong bảng; dữ liệu được định dạng thành Excel Table để AutoFilter tự mở rộng.</w:t>
      </w:r>
    </w:p>
    <w:p>
      <w:pPr>
        <w:pStyle w:val="ListBullet"/>
      </w:pPr>
      <w:r>
        <w:t>PatientID là khóa chính, duy nhất và không để trống.</w:t>
      </w:r>
    </w:p>
    <w:p>
      <w:pPr>
        <w:pStyle w:val="ListBullet"/>
      </w:pPr>
      <w:r>
        <w:t>Mỗi hàng là một bệnh nhân; mỗi cột là một thuộc tính; một ô chỉ chứa một giá trị nguyên tử.</w:t>
      </w:r>
    </w:p>
    <w:p>
      <w:pPr>
        <w:pStyle w:val="ListBullet"/>
      </w:pPr>
      <w:r>
        <w:t>Thông tin chưa có để trống (NULL/unknown), không điền giá trị giả như 0 hoặc 'N/A' nếu chúng có nghĩa khác.</w:t>
      </w:r>
    </w:p>
    <w:p>
      <w:pPr>
        <w:pStyle w:val="ListBullet"/>
      </w:pPr>
      <w:r>
        <w:t>Không xóa hàng hoặc cột tiêu đề để tạo nhóm; dùng bộ lọc, PivotTable hoặc bảng danh mục riêng.</w:t>
      </w:r>
    </w:p>
    <w:p>
      <w:pPr>
        <w:pStyle w:val="ListBullet"/>
      </w:pPr>
      <w:r>
        <w:t>Không dùng file Excel như kho lưu trữ bệnh án thực tế; đây chỉ là mẫu quản lý học tập.</w:t>
      </w:r>
    </w:p>
    <w:p>
      <w:pPr>
        <w:pStyle w:val="Heading2"/>
      </w:pPr>
      <w:r>
        <w:t>6.1 Bẫy AutoFilter: hàng nghìn ô trống</w:t>
      </w:r>
    </w:p>
    <w:p>
      <w:r>
        <w:t>Ô trống bên trong các bản ghi không tự làm AutoFilter bị ngắt. Nguyên nhân thường là vùng dữ liệu bị chia bởi hàng/cột trống hoàn toàn, tiêu đề không nằm ở hàng đầu của vùng, hoặc vùng chọn không bao phủ toàn bộ dữ liệu. Cách xử lý: chuyển toàn bộ vùng thành Excel Table bằng Ctrl+T, xác nhận 'My table has headers'; không chèn hàng trống trong vùng bảng; mỗi bản ghi vẫn có PatientID. Nếu không dùng Table, chọn toàn bộ vùng liên tục rồi bật Data → Filter. Không điền dữ liệu giả chỉ để lấp ô trống.</w:t>
      </w:r>
    </w:p>
    <w:p>
      <w:pPr>
        <w:pStyle w:val="Heading1"/>
      </w:pPr>
      <w:r>
        <w:t>7. Kiểm thử và tiêu chí chấp nhận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Tình huống</w:t>
            </w:r>
          </w:p>
        </w:tc>
        <w:tc>
          <w:tcPr>
            <w:tcW w:type="dxa" w:w="3312"/>
          </w:tcPr>
          <w:p>
            <w:r>
              <w:t>Kết quả mong đợi</w:t>
            </w:r>
          </w:p>
        </w:tc>
      </w:tr>
      <w:tr>
        <w:tc>
          <w:tcPr>
            <w:tcW w:type="dxa" w:w="3312"/>
          </w:tcPr>
          <w:p>
            <w:r>
              <w:t>TC-01</w:t>
            </w:r>
          </w:p>
        </w:tc>
        <w:tc>
          <w:tcPr>
            <w:tcW w:type="dxa" w:w="3312"/>
          </w:tcPr>
          <w:p>
            <w:r>
              <w:t>Tạo bệnh nhân với PatientID mới</w:t>
            </w:r>
          </w:p>
        </w:tc>
        <w:tc>
          <w:tcPr>
            <w:tcW w:type="dxa" w:w="3312"/>
          </w:tcPr>
          <w:p>
            <w:r>
              <w:t>Lưu thành công, ID duy nhất.</w:t>
            </w:r>
          </w:p>
        </w:tc>
      </w:tr>
      <w:tr>
        <w:tc>
          <w:tcPr>
            <w:tcW w:type="dxa" w:w="3312"/>
          </w:tcPr>
          <w:p>
            <w:r>
              <w:t>TC-02</w:t>
            </w:r>
          </w:p>
        </w:tc>
        <w:tc>
          <w:tcPr>
            <w:tcW w:type="dxa" w:w="3312"/>
          </w:tcPr>
          <w:p>
            <w:r>
              <w:t>Tạo bản ghi trùng PatientID</w:t>
            </w:r>
          </w:p>
        </w:tc>
        <w:tc>
          <w:tcPr>
            <w:tcW w:type="dxa" w:w="3312"/>
          </w:tcPr>
          <w:p>
            <w:r>
              <w:t>Bị từ chối hoặc quy trình hợp nhất được phân quyền kích hoạt.</w:t>
            </w:r>
          </w:p>
        </w:tc>
      </w:tr>
      <w:tr>
        <w:tc>
          <w:tcPr>
            <w:tcW w:type="dxa" w:w="3312"/>
          </w:tcPr>
          <w:p>
            <w:r>
              <w:t>TC-03</w:t>
            </w:r>
          </w:p>
        </w:tc>
        <w:tc>
          <w:tcPr>
            <w:tcW w:type="dxa" w:w="3312"/>
          </w:tcPr>
          <w:p>
            <w:r>
              <w:t>Nhân viên tiếp đón mở nội dung lâm sàng không được phép</w:t>
            </w:r>
          </w:p>
        </w:tc>
        <w:tc>
          <w:tcPr>
            <w:tcW w:type="dxa" w:w="3312"/>
          </w:tcPr>
          <w:p>
            <w:r>
              <w:t>Bị từ chối; sự kiện được ghi log.</w:t>
            </w:r>
          </w:p>
        </w:tc>
      </w:tr>
      <w:tr>
        <w:tc>
          <w:tcPr>
            <w:tcW w:type="dxa" w:w="3312"/>
          </w:tcPr>
          <w:p>
            <w:r>
              <w:t>TC-04</w:t>
            </w:r>
          </w:p>
        </w:tc>
        <w:tc>
          <w:tcPr>
            <w:tcW w:type="dxa" w:w="3312"/>
          </w:tcPr>
          <w:p>
            <w:r>
              <w:t>Người dùng sửa bệnh án đã ký</w:t>
            </w:r>
          </w:p>
        </w:tc>
        <w:tc>
          <w:tcPr>
            <w:tcW w:type="dxa" w:w="3312"/>
          </w:tcPr>
          <w:p>
            <w:r>
              <w:t>Phải tạo phiên bản/ghi nhận lý do, người sửa và thời điểm.</w:t>
            </w:r>
          </w:p>
        </w:tc>
      </w:tr>
      <w:tr>
        <w:tc>
          <w:tcPr>
            <w:tcW w:type="dxa" w:w="3312"/>
          </w:tcPr>
          <w:p>
            <w:r>
              <w:t>TC-05</w:t>
            </w:r>
          </w:p>
        </w:tc>
        <w:tc>
          <w:tcPr>
            <w:tcW w:type="dxa" w:w="3312"/>
          </w:tcPr>
          <w:p>
            <w:r>
              <w:t>Lọc Excel khi nhiều ô tùy chọn trống</w:t>
            </w:r>
          </w:p>
        </w:tc>
        <w:tc>
          <w:tcPr>
            <w:tcW w:type="dxa" w:w="3312"/>
          </w:tcPr>
          <w:p>
            <w:r>
              <w:t>Bộ lọc vẫn áp dụng trên toàn bộ 1.000 hàng; không bỏ sót bản ghi.</w:t>
            </w:r>
          </w:p>
        </w:tc>
      </w:tr>
      <w:tr>
        <w:tc>
          <w:tcPr>
            <w:tcW w:type="dxa" w:w="3312"/>
          </w:tcPr>
          <w:p>
            <w:r>
              <w:t>TC-06</w:t>
            </w:r>
          </w:p>
        </w:tc>
        <w:tc>
          <w:tcPr>
            <w:tcW w:type="dxa" w:w="3312"/>
          </w:tcPr>
          <w:p>
            <w:r>
              <w:t>Khôi phục bản sao lưu</w:t>
            </w:r>
          </w:p>
        </w:tc>
        <w:tc>
          <w:tcPr>
            <w:tcW w:type="dxa" w:w="3312"/>
          </w:tcPr>
          <w:p>
            <w:r>
              <w:t>Khôi phục được trong RTO/RPO đã thống nhất; kết quả được kiểm tra.</w:t>
            </w:r>
          </w:p>
        </w:tc>
      </w:tr>
      <w:tr>
        <w:tc>
          <w:tcPr>
            <w:tcW w:type="dxa" w:w="3312"/>
          </w:tcPr>
          <w:p>
            <w:r>
              <w:t>TC-07</w:t>
            </w:r>
          </w:p>
        </w:tc>
        <w:tc>
          <w:tcPr>
            <w:tcW w:type="dxa" w:w="3312"/>
          </w:tcPr>
          <w:p>
            <w:r>
              <w:t>Xuất hồ sơ</w:t>
            </w:r>
          </w:p>
        </w:tc>
        <w:tc>
          <w:tcPr>
            <w:tcW w:type="dxa" w:w="3312"/>
          </w:tcPr>
          <w:p>
            <w:r>
              <w:t>Chỉ vai trò hợp lệ thực hiện được; có nhật ký.</w:t>
            </w:r>
          </w:p>
        </w:tc>
      </w:tr>
      <w:tr>
        <w:tc>
          <w:tcPr>
            <w:tcW w:type="dxa" w:w="3312"/>
          </w:tcPr>
          <w:p>
            <w:r>
              <w:t>TC-08</w:t>
            </w:r>
          </w:p>
        </w:tc>
        <w:tc>
          <w:tcPr>
            <w:tcW w:type="dxa" w:w="3312"/>
          </w:tcPr>
          <w:p>
            <w:r>
              <w:t>Đo hiệu năng</w:t>
            </w:r>
          </w:p>
        </w:tc>
        <w:tc>
          <w:tcPr>
            <w:tcW w:type="dxa" w:w="3312"/>
          </w:tcPr>
          <w:p>
            <w:r>
              <w:t>Đạt mục tiêu NFR-07 trong môi trường kiểm thử đã mô tả.</w:t>
            </w:r>
          </w:p>
        </w:tc>
      </w:tr>
    </w:tbl>
    <w:p>
      <w:pPr>
        <w:pStyle w:val="Heading1"/>
      </w:pPr>
      <w:r>
        <w:t>8. Hướng dẫn Word: sửa nhầm Heading Style</w:t>
      </w:r>
    </w:p>
    <w:p>
      <w:r>
        <w:t>Khi một đoạn văn thông thường bị gán nhầm Heading 1/Heading 2, đặt con trỏ trong đoạn đó (hoặc chọn đoạn), nhấn Ctrl + Shift + N để áp dụng lại kiểu Normal. Kiểm tra lại cấp đề mục trong Navigation Pane và mục lục tự động; nếu đoạn đó đúng là tiêu đề thì chọn lại Heading Style phù hợp. Phím tắt có thể khác tùy cấu hình/ngôn ngữ Word.</w:t>
      </w:r>
    </w:p>
    <w:p>
      <w:pPr>
        <w:pStyle w:val="Heading1"/>
      </w:pPr>
      <w:r>
        <w:t>9. Giả định, rủi ro và lưu ý</w:t>
      </w:r>
    </w:p>
    <w:p>
      <w:r>
        <w:t>Các chỉ tiêu hiệu năng, RPO/RTO và uptime trong tài liệu là mục tiêu đề xuất để thảo luận, cần được chủ phòng khám và đội kỹ thuật xác nhận. Trước triển khai thật cần đánh giá pháp lý tại Việt Nam, kiểm thử bảo mật độc lập, quy trình quản trị dữ liệu và kế hoạch ứng phó sự cố.</w:t>
      </w:r>
    </w:p>
    <w:p>
      <w:pPr>
        <w:pStyle w:val="Heading1"/>
      </w:pPr>
      <w:r>
        <w:t>10. Tài liệu bàn giao</w:t>
      </w:r>
    </w:p>
    <w:p>
      <w:r>
        <w:t>1) Tài liệu SRS (DOCX); 2) Workbook quản lý 1.000 hồ sơ giả lập, có Excel Table, AutoFilter và Donut Chart; 3) README hướng dẫn nộp bài và xuất bản lên GitHub/Drive.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