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20" w:after="80"/>
      </w:pPr>
      <w:r>
        <w:rPr>
          <w:b/>
          <w:color w:val="1F3864"/>
          <w:sz w:val="27"/>
        </w:rPr>
        <w:t>ShopHub — an ecommerce operations platform</w:t>
      </w:r>
    </w:p>
    <w:p>
      <w:r>
        <w:rPr>
          <w:b/>
          <w:sz w:val="20"/>
        </w:rPr>
        <w:t>Agile &amp; DevOps laboratory submission</w:t>
      </w:r>
    </w:p>
    <w:tbl>
      <w:tblPr>
        <w:tblStyle w:val="TableGrid"/>
        <w:tblW w:type="auto" w:w="0"/>
        <w:tblLook w:firstColumn="1" w:firstRow="1" w:lastColumn="0" w:lastRow="0" w:noHBand="0" w:noVBand="1" w:val="04A0"/>
      </w:tblPr>
      <w:tblGrid>
        <w:gridCol w:w="4968"/>
        <w:gridCol w:w="4968"/>
      </w:tblGrid>
      <w:tr>
        <w:tc>
          <w:tcPr>
            <w:tcW w:type="dxa" w:w="4968"/>
          </w:tcPr>
          <w:p>
            <w:r>
              <w:rPr>
                <w:b/>
              </w:rPr>
            </w:r>
            <w:r>
              <w:rPr>
                <w:b/>
                <w:sz w:val="18"/>
              </w:rPr>
              <w:t>Name</w:t>
            </w:r>
          </w:p>
        </w:tc>
        <w:tc>
          <w:tcPr>
            <w:tcW w:type="dxa" w:w="4968"/>
          </w:tcPr>
          <w:p>
            <w:r/>
            <w:r>
              <w:rPr>
                <w:sz w:val="18"/>
              </w:rPr>
              <w:t>Sarthak Pagare</w:t>
            </w:r>
          </w:p>
        </w:tc>
      </w:tr>
      <w:tr>
        <w:tc>
          <w:tcPr>
            <w:tcW w:type="dxa" w:w="4968"/>
          </w:tcPr>
          <w:p>
            <w:r>
              <w:rPr>
                <w:b/>
              </w:rPr>
            </w:r>
            <w:r>
              <w:rPr>
                <w:b/>
                <w:sz w:val="18"/>
              </w:rPr>
              <w:t>Email</w:t>
            </w:r>
          </w:p>
        </w:tc>
        <w:tc>
          <w:tcPr>
            <w:tcW w:type="dxa" w:w="4968"/>
          </w:tcPr>
          <w:p>
            <w:r/>
            <w:r>
              <w:rPr>
                <w:sz w:val="18"/>
              </w:rPr>
              <w:t>sarthakpagare005@gmail.com</w:t>
            </w:r>
          </w:p>
        </w:tc>
      </w:tr>
      <w:tr>
        <w:tc>
          <w:tcPr>
            <w:tcW w:type="dxa" w:w="4968"/>
          </w:tcPr>
          <w:p>
            <w:r>
              <w:rPr>
                <w:b/>
              </w:rPr>
            </w:r>
            <w:r>
              <w:rPr>
                <w:b/>
                <w:sz w:val="18"/>
              </w:rPr>
              <w:t>Repository</w:t>
            </w:r>
          </w:p>
        </w:tc>
        <w:tc>
          <w:tcPr>
            <w:tcW w:type="dxa" w:w="4968"/>
          </w:tcPr>
          <w:p>
            <w:r/>
            <w:r>
              <w:rPr>
                <w:sz w:val="18"/>
              </w:rPr>
              <w:t>https://github.com/nglfrsarthak/shop-hub</w:t>
            </w:r>
          </w:p>
        </w:tc>
      </w:tr>
      <w:tr>
        <w:tc>
          <w:tcPr>
            <w:tcW w:type="dxa" w:w="4968"/>
          </w:tcPr>
          <w:p>
            <w:r>
              <w:rPr>
                <w:b/>
              </w:rPr>
            </w:r>
            <w:r>
              <w:rPr>
                <w:b/>
                <w:sz w:val="18"/>
              </w:rPr>
              <w:t>Toolchain</w:t>
            </w:r>
          </w:p>
        </w:tc>
        <w:tc>
          <w:tcPr>
            <w:tcW w:type="dxa" w:w="4968"/>
          </w:tcPr>
          <w:p>
            <w:r/>
            <w:r>
              <w:rPr>
                <w:sz w:val="18"/>
              </w:rPr>
              <w:t>Jira (the work) + GitHub (the code) — and nothing else</w:t>
            </w:r>
          </w:p>
        </w:tc>
      </w:tr>
      <w:tr>
        <w:tc>
          <w:tcPr>
            <w:tcW w:type="dxa" w:w="4968"/>
          </w:tcPr>
          <w:p>
            <w:r>
              <w:rPr>
                <w:b/>
              </w:rPr>
            </w:r>
            <w:r>
              <w:rPr>
                <w:b/>
                <w:sz w:val="18"/>
              </w:rPr>
              <w:t>Pipeline</w:t>
            </w:r>
          </w:p>
        </w:tc>
        <w:tc>
          <w:tcPr>
            <w:tcW w:type="dxa" w:w="4968"/>
          </w:tcPr>
          <w:p>
            <w:r/>
            <w:r>
              <w:rPr>
                <w:sz w:val="18"/>
              </w:rPr>
              <w:t>Continuous integration, never continuous deployment</w:t>
            </w:r>
          </w:p>
        </w:tc>
      </w:tr>
      <w:tr>
        <w:tc>
          <w:tcPr>
            <w:tcW w:type="dxa" w:w="4968"/>
          </w:tcPr>
          <w:p>
            <w:r>
              <w:rPr>
                <w:b/>
              </w:rPr>
            </w:r>
            <w:r>
              <w:rPr>
                <w:b/>
                <w:sz w:val="18"/>
              </w:rPr>
              <w:t>Latest commit</w:t>
            </w:r>
          </w:p>
        </w:tc>
        <w:tc>
          <w:tcPr>
            <w:tcW w:type="dxa" w:w="4968"/>
          </w:tcPr>
          <w:p>
            <w:r/>
            <w:r>
              <w:rPr>
                <w:rFonts w:ascii="Consolas" w:hAnsi="Consolas" w:cs="Consolas"/>
                <w:sz w:val="17"/>
              </w:rPr>
              <w:t>deb5d0e</w:t>
            </w:r>
            <w:r>
              <w:rPr>
                <w:sz w:val="18"/>
              </w:rPr>
              <w:t xml:space="preserve"> — </w:t>
            </w:r>
            <w:r>
              <w:rPr>
                <w:i/>
                <w:sz w:val="18"/>
              </w:rPr>
              <w:t>fix: align the lifecycle and payment rules with the Jira acceptance criteria</w:t>
            </w:r>
          </w:p>
        </w:tc>
      </w:tr>
      <w:tr>
        <w:tc>
          <w:tcPr>
            <w:tcW w:type="dxa" w:w="4968"/>
          </w:tcPr>
          <w:p>
            <w:r>
              <w:rPr>
                <w:b/>
              </w:rPr>
            </w:r>
            <w:r>
              <w:rPr>
                <w:b/>
                <w:sz w:val="18"/>
              </w:rPr>
              <w:t>Suite</w:t>
            </w:r>
          </w:p>
        </w:tc>
        <w:tc>
          <w:tcPr>
            <w:tcW w:type="dxa" w:w="4968"/>
          </w:tcPr>
          <w:p>
            <w:r/>
            <w:r>
              <w:rPr>
                <w:rFonts w:ascii="Consolas" w:hAnsi="Consolas" w:cs="Consolas"/>
                <w:sz w:val="17"/>
              </w:rPr>
              <w:t>npm test</w:t>
            </w:r>
            <w:r>
              <w:rPr>
                <w:sz w:val="18"/>
              </w:rPr>
              <w:t xml:space="preserve"> → 78 acceptance tests / 8 suites; </w:t>
            </w:r>
            <w:r>
              <w:rPr>
                <w:rFonts w:ascii="Consolas" w:hAnsi="Consolas" w:cs="Consolas"/>
                <w:sz w:val="17"/>
              </w:rPr>
              <w:t>npm run smoke</w:t>
            </w:r>
            <w:r>
              <w:rPr>
                <w:sz w:val="18"/>
              </w:rPr>
              <w:t xml:space="preserve"> → 30 checks</w:t>
            </w:r>
          </w:p>
        </w:tc>
      </w:tr>
    </w:tbl>
    <w:p>
      <w:pPr>
        <w:spacing w:after="20"/>
      </w:pPr>
    </w:p>
    <w:p>
      <w:pPr>
        <w:spacing w:before="80" w:after="80"/>
        <w:pBdr>
          <w:bottom w:val="single" w:sz="6" w:space="1" w:color="BBBBBB"/>
        </w:pBdr>
      </w:pPr>
    </w:p>
    <w:p>
      <w:pPr>
        <w:keepNext/>
        <w:spacing w:before="140" w:after="40"/>
      </w:pPr>
      <w:r>
        <w:rPr>
          <w:b/>
          <w:color w:val="2E5496"/>
          <w:sz w:val="22"/>
        </w:rPr>
        <w:t>1. Short description</w:t>
      </w:r>
    </w:p>
    <w:p>
      <w:r>
        <w:rPr>
          <w:sz w:val="20"/>
        </w:rPr>
        <w:t>ShopHub is an ERP-style backend and browser console for a mid-size online retailer. It implements the whole trading loop of an online store — a catalogue of products, SKUs and prices; a server-side cart; checkout that reserves stock; a closed order state machine; idempotent card payments; returns, refunds and reconciliation; fulfilment with dispatch and tracking; and role-scoped reporting over an append-only audit ledger.</w:t>
      </w:r>
    </w:p>
    <w:p>
      <w:r>
        <w:rPr>
          <w:sz w:val="20"/>
        </w:rPr>
        <w:t xml:space="preserve">The schema has </w:t>
      </w:r>
      <w:r>
        <w:rPr>
          <w:b/>
          <w:sz w:val="20"/>
        </w:rPr>
        <w:t>18 tables</w:t>
      </w:r>
      <w:r>
        <w:rPr>
          <w:sz w:val="20"/>
        </w:rPr>
        <w:t xml:space="preserve"> and the HTTP surface has </w:t>
      </w:r>
      <w:r>
        <w:rPr>
          <w:b/>
          <w:sz w:val="20"/>
        </w:rPr>
        <w:t>51 endpoints</w:t>
      </w:r>
      <w:r>
        <w:rPr>
          <w:sz w:val="20"/>
        </w:rPr>
        <w:t xml:space="preserve">, described by the API's own </w:t>
      </w:r>
      <w:r>
        <w:rPr>
          <w:rFonts w:ascii="Consolas" w:hAnsi="Consolas" w:cs="Consolas"/>
          <w:sz w:val="19"/>
        </w:rPr>
        <w:t>GET /api/v1/meta</w:t>
      </w:r>
      <w:r>
        <w:rPr>
          <w:sz w:val="20"/>
        </w:rPr>
        <w:t xml:space="preserve">. Money is always an </w:t>
      </w:r>
      <w:r>
        <w:rPr>
          <w:b/>
          <w:sz w:val="20"/>
        </w:rPr>
        <w:t>integer number of paise</w:t>
      </w:r>
      <w:r>
        <w:rPr>
          <w:sz w:val="20"/>
        </w:rPr>
        <w:t xml:space="preserve">; stock is always explained by a movement ledger; and every state change is checked against a closed state machine. There are </w:t>
      </w:r>
      <w:r>
        <w:rPr>
          <w:b/>
          <w:sz w:val="20"/>
        </w:rPr>
        <w:t>six roles</w:t>
      </w:r>
      <w:r>
        <w:rPr>
          <w:sz w:val="20"/>
        </w:rPr>
        <w:t xml:space="preserve"> — customer, agent, warehouse, merchandiser, finance, admin — and every endpoint that mutates data is scoped to the roles allowed to call it.</w:t>
      </w:r>
    </w:p>
    <w:p>
      <w:r>
        <w:rPr>
          <w:sz w:val="20"/>
        </w:rPr>
        <w:t xml:space="preserve">The toolchain is deliberately and strictly two tools: </w:t>
      </w:r>
      <w:r>
        <w:rPr>
          <w:b/>
          <w:sz w:val="20"/>
        </w:rPr>
        <w:t>Jira</w:t>
      </w:r>
      <w:r>
        <w:rPr>
          <w:sz w:val="20"/>
        </w:rPr>
        <w:t xml:space="preserve"> for the work, </w:t>
      </w:r>
      <w:r>
        <w:rPr>
          <w:b/>
          <w:sz w:val="20"/>
        </w:rPr>
        <w:t>GitHub</w:t>
      </w:r>
      <w:r>
        <w:rPr>
          <w:sz w:val="20"/>
        </w:rPr>
        <w:t xml:space="preserve"> for the code. The work items on the board are the specification; the commits on GitHub are the implementation; and a single CI workflow on every push is the only automated gate. A </w:t>
      </w:r>
      <w:r>
        <w:rPr>
          <w:rFonts w:ascii="Consolas" w:hAnsi="Consolas" w:cs="Consolas"/>
          <w:sz w:val="19"/>
        </w:rPr>
        <w:t>Dockerfile</w:t>
      </w:r>
      <w:r>
        <w:rPr>
          <w:sz w:val="20"/>
        </w:rPr>
        <w:t xml:space="preserve"> exists, but it is local run convenience only — </w:t>
      </w:r>
      <w:r>
        <w:rPr>
          <w:b/>
          <w:sz w:val="20"/>
        </w:rPr>
        <w:t>CI neither builds nor publishes an image</w:t>
      </w:r>
      <w:r>
        <w:rPr>
          <w:sz w:val="20"/>
        </w:rPr>
        <w:t>.</w:t>
      </w:r>
    </w:p>
    <w:p>
      <w:r>
        <w:rPr>
          <w:sz w:val="20"/>
        </w:rPr>
        <w:t>This document is the submission. Every screenshot in it was captured from the real tool by driving a real browser or running the real command; nothing was redrawn, mocked or simulated. Where evidence could not be captured, it is shown as an explicit placeholder with instructions, never as a fabricated image.</w:t>
      </w:r>
    </w:p>
    <w:p>
      <w:pPr>
        <w:spacing w:before="80" w:after="80"/>
        <w:pBdr>
          <w:bottom w:val="single" w:sz="6" w:space="1" w:color="BBBBBB"/>
        </w:pBdr>
      </w:pPr>
    </w:p>
    <w:p>
      <w:pPr>
        <w:keepNext/>
        <w:spacing w:before="140" w:after="40"/>
      </w:pPr>
      <w:r>
        <w:rPr>
          <w:b/>
          <w:color w:val="2E5496"/>
          <w:sz w:val="22"/>
        </w:rPr>
        <w:t>2. Theory</w:t>
      </w:r>
    </w:p>
    <w:p>
      <w:pPr>
        <w:keepNext/>
        <w:spacing w:before="100" w:after="40"/>
      </w:pPr>
      <w:r>
        <w:rPr>
          <w:b/>
          <w:color w:val="2E5496"/>
          <w:sz w:val="20"/>
        </w:rPr>
        <w:t>§2.1 Two tools, and only two</w:t>
      </w:r>
    </w:p>
    <w:p>
      <w:r>
        <w:rPr>
          <w:sz w:val="20"/>
        </w:rPr>
        <w:t xml:space="preserve">The brief for this lab is a two-tool toolchain: </w:t>
      </w:r>
      <w:r>
        <w:rPr>
          <w:b/>
          <w:sz w:val="20"/>
        </w:rPr>
        <w:t>Jira</w:t>
      </w:r>
      <w:r>
        <w:rPr>
          <w:sz w:val="20"/>
        </w:rPr>
        <w:t xml:space="preserve"> for the work, </w:t>
      </w:r>
      <w:r>
        <w:rPr>
          <w:b/>
          <w:sz w:val="20"/>
        </w:rPr>
        <w:t>GitHub</w:t>
      </w:r>
      <w:r>
        <w:rPr>
          <w:sz w:val="20"/>
        </w:rPr>
        <w:t xml:space="preserve"> for the code. This is a constraint, and constraints are useful — they force the boundary between the two tools to be clean. Jira owns </w:t>
      </w:r>
      <w:r>
        <w:rPr>
          <w:i/>
          <w:sz w:val="20"/>
        </w:rPr>
        <w:t>what</w:t>
      </w:r>
      <w:r>
        <w:rPr>
          <w:sz w:val="20"/>
        </w:rPr>
        <w:t xml:space="preserve"> is being built: epics, stories, acceptance criteria, the sprint. GitHub owns </w:t>
      </w:r>
      <w:r>
        <w:rPr>
          <w:i/>
          <w:sz w:val="20"/>
        </w:rPr>
        <w:t>how</w:t>
      </w:r>
      <w:r>
        <w:rPr>
          <w:sz w:val="20"/>
        </w:rPr>
        <w:t xml:space="preserve"> it is built: the commits, the reviewable history, the CI workflow. Neither tool tries to do the other's job, so there is exactly one place to look for "what is planned" and exactly one place to look for "what is true".</w:t>
      </w:r>
    </w:p>
    <w:p>
      <w:pPr>
        <w:keepNext/>
        <w:spacing w:before="100" w:after="40"/>
      </w:pPr>
      <w:r>
        <w:rPr>
          <w:b/>
          <w:color w:val="2E5496"/>
          <w:sz w:val="20"/>
        </w:rPr>
        <w:t>§2.2 Epics, stories, acceptance criteria and the Definition of Done</w:t>
      </w:r>
    </w:p>
    <w:p>
      <w:r>
        <w:rPr>
          <w:sz w:val="20"/>
        </w:rPr>
        <w:t>Work is organised the way Agile practice prescribes:</w:t>
      </w:r>
    </w:p>
    <w:p>
      <w:pPr>
        <w:pStyle w:val="ListBullet"/>
        <w:spacing w:after="20" w:line="228" w:lineRule="auto"/>
      </w:pPr>
      <w:r>
        <w:rPr>
          <w:sz w:val="20"/>
        </w:rPr>
        <w:t xml:space="preserve">An </w:t>
      </w:r>
      <w:r>
        <w:rPr>
          <w:b/>
          <w:sz w:val="20"/>
        </w:rPr>
        <w:t>epic</w:t>
      </w:r>
      <w:r>
        <w:rPr>
          <w:sz w:val="20"/>
        </w:rPr>
        <w:t xml:space="preserve"> is a large slice of value (for example, </w:t>
      </w:r>
      <w:r>
        <w:rPr>
          <w:i/>
          <w:sz w:val="20"/>
        </w:rPr>
        <w:t>E3 — stock levels and the no-oversell rule</w:t>
      </w:r>
      <w:r>
        <w:rPr>
          <w:sz w:val="20"/>
        </w:rPr>
        <w:t>).</w:t>
      </w:r>
    </w:p>
    <w:p>
      <w:pPr>
        <w:pStyle w:val="ListBullet"/>
        <w:spacing w:after="20" w:line="228" w:lineRule="auto"/>
      </w:pPr>
      <w:r>
        <w:rPr>
          <w:sz w:val="20"/>
        </w:rPr>
        <w:t xml:space="preserve">A </w:t>
      </w:r>
      <w:r>
        <w:rPr>
          <w:b/>
          <w:sz w:val="20"/>
        </w:rPr>
        <w:t>story</w:t>
      </w:r>
      <w:r>
        <w:rPr>
          <w:sz w:val="20"/>
        </w:rPr>
        <w:t xml:space="preserve"> is a small, independently deliverable unit phrased from the user's point of view: </w:t>
      </w:r>
      <w:r>
        <w:rPr>
          <w:i/>
          <w:sz w:val="20"/>
        </w:rPr>
        <w:t>As a &lt;role&gt;, I want &lt;goal&gt; so that &lt;benefit&gt;</w:t>
      </w:r>
      <w:r>
        <w:rPr>
          <w:sz w:val="20"/>
        </w:rPr>
        <w:t>.</w:t>
      </w:r>
    </w:p>
    <w:p>
      <w:pPr>
        <w:pStyle w:val="ListBullet"/>
        <w:spacing w:after="20" w:line="228" w:lineRule="auto"/>
      </w:pPr>
      <w:r>
        <w:rPr>
          <w:b/>
          <w:sz w:val="20"/>
        </w:rPr>
        <w:t>Acceptance criteria (ACs)</w:t>
      </w:r>
      <w:r>
        <w:rPr>
          <w:sz w:val="20"/>
        </w:rPr>
        <w:t xml:space="preserve"> are the testable statements that decide whether the story is done. An AC that cannot be turned into a passing test is not an AC, it is a wish.</w:t>
      </w:r>
    </w:p>
    <w:p>
      <w:r>
        <w:rPr>
          <w:sz w:val="20"/>
        </w:rPr>
        <w:t xml:space="preserve">The </w:t>
      </w:r>
      <w:r>
        <w:rPr>
          <w:b/>
          <w:sz w:val="20"/>
        </w:rPr>
        <w:t>Definition of Done</w:t>
      </w:r>
      <w:r>
        <w:rPr>
          <w:sz w:val="20"/>
        </w:rPr>
        <w:t xml:space="preserve"> used here is strict: a story is Done only when every one of its acceptance criteria is exercised by an automated test that passes, and the code is committed and green in CI. This is why the test suite is organised by epic — </w:t>
      </w:r>
      <w:r>
        <w:rPr>
          <w:rFonts w:ascii="Consolas" w:hAnsi="Consolas" w:cs="Consolas"/>
          <w:sz w:val="19"/>
        </w:rPr>
        <w:t>E1</w:t>
      </w:r>
      <w:r>
        <w:rPr>
          <w:sz w:val="20"/>
        </w:rPr>
        <w:t xml:space="preserve"> through </w:t>
      </w:r>
      <w:r>
        <w:rPr>
          <w:rFonts w:ascii="Consolas" w:hAnsi="Consolas" w:cs="Consolas"/>
          <w:sz w:val="19"/>
        </w:rPr>
        <w:t>E7</w:t>
      </w:r>
      <w:r>
        <w:rPr>
          <w:sz w:val="20"/>
        </w:rPr>
        <w:t xml:space="preserve"> — so that the distance between a line of Jira and a line of code is one test name.</w:t>
      </w:r>
    </w:p>
    <w:p>
      <w:pPr>
        <w:keepNext/>
        <w:spacing w:before="100" w:after="40"/>
      </w:pPr>
      <w:r>
        <w:rPr>
          <w:b/>
          <w:color w:val="2E5496"/>
          <w:sz w:val="20"/>
        </w:rPr>
        <w:t>§2.3 The pipeline: continuous integration, never continuous deployment</w:t>
      </w:r>
    </w:p>
    <w:p>
      <w:r>
        <w:rPr>
          <w:b/>
          <w:sz w:val="20"/>
        </w:rPr>
        <w:t>Continuous integration</w:t>
      </w:r>
      <w:r>
        <w:rPr>
          <w:sz w:val="20"/>
        </w:rPr>
        <w:t xml:space="preserve"> means every push is automatically built and verified. That is the whole pipeline here. </w:t>
      </w:r>
      <w:r>
        <w:rPr>
          <w:b/>
          <w:sz w:val="20"/>
        </w:rPr>
        <w:t>Continuous deployment</w:t>
      </w:r>
      <w:r>
        <w:rPr>
          <w:sz w:val="20"/>
        </w:rPr>
        <w:t xml:space="preserve"> — automatically shipping a green build to production — is deliberately </w:t>
      </w:r>
      <w:r>
        <w:rPr>
          <w:i/>
          <w:sz w:val="20"/>
        </w:rPr>
        <w:t>not</w:t>
      </w:r>
      <w:r>
        <w:rPr>
          <w:sz w:val="20"/>
        </w:rPr>
        <w:t xml:space="preserve"> used. This lab is about the inner loop: how a change moves from a story, through a commit, to a verified build. Deployment adds environment-specific concerns (hosting, secrets, migration) that are out of scope, and pretending otherwise would make the evidence weaker, not stronger. The </w:t>
      </w:r>
      <w:r>
        <w:rPr>
          <w:rFonts w:ascii="Consolas" w:hAnsi="Consolas" w:cs="Consolas"/>
          <w:sz w:val="19"/>
        </w:rPr>
        <w:t>Dockerfile</w:t>
      </w:r>
      <w:r>
        <w:rPr>
          <w:sz w:val="20"/>
        </w:rPr>
        <w:t xml:space="preserve"> builds a container that runs the app locally for convenience; CI does not touch it.</w:t>
      </w:r>
    </w:p>
    <w:p>
      <w:pPr>
        <w:keepNext/>
        <w:spacing w:before="100" w:after="40"/>
      </w:pPr>
      <w:r>
        <w:rPr>
          <w:b/>
          <w:color w:val="2E5496"/>
          <w:sz w:val="20"/>
        </w:rPr>
        <w:t>§2.4 Evidence over assertion</w:t>
      </w:r>
    </w:p>
    <w:p>
      <w:r>
        <w:rPr>
          <w:sz w:val="20"/>
        </w:rPr>
        <w:t>Every claim in this submission is backed by a real artefact: a screenshot of the real tool, or the real output of the real command, captured by a script. The capture scripts (</w:t>
      </w:r>
      <w:r>
        <w:rPr>
          <w:rFonts w:ascii="Consolas" w:hAnsi="Consolas" w:cs="Consolas"/>
          <w:sz w:val="19"/>
        </w:rPr>
        <w:t>scripts/capture-shots.mjs</w:t>
      </w:r>
      <w:r>
        <w:rPr>
          <w:sz w:val="20"/>
        </w:rPr>
        <w:t xml:space="preserve">, </w:t>
      </w:r>
      <w:r>
        <w:rPr>
          <w:rFonts w:ascii="Consolas" w:hAnsi="Consolas" w:cs="Consolas"/>
          <w:sz w:val="19"/>
        </w:rPr>
        <w:t>scripts/code-output-shots.mjs</w:t>
      </w:r>
      <w:r>
        <w:rPr>
          <w:sz w:val="20"/>
        </w:rPr>
        <w:t>) drive a real browser over the Chrome DevTools Protocol and run the real commands, writing the bytes they saw next to the image. Nothing is redrawn. Where a piece of evidence genuinely cannot be produced — the Jira burndown chart on the free plan, for instance — the submission says so plainly and shows a placeholder instead.</w:t>
      </w:r>
    </w:p>
    <w:p>
      <w:pPr>
        <w:keepNext/>
        <w:spacing w:before="100" w:after="40"/>
      </w:pPr>
      <w:r>
        <w:rPr>
          <w:b/>
          <w:color w:val="2E5496"/>
          <w:sz w:val="20"/>
        </w:rPr>
        <w:t>§2.5 Invariants</w:t>
      </w:r>
    </w:p>
    <w:p>
      <w:r>
        <w:rPr>
          <w:sz w:val="20"/>
        </w:rPr>
        <w:t>An invariant is a statement that must be true at every moment, not merely after a particular request. The system enforces and tests several:</w:t>
      </w:r>
    </w:p>
    <w:p>
      <w:pPr>
        <w:pStyle w:val="ListBullet"/>
        <w:spacing w:after="20" w:line="228" w:lineRule="auto"/>
      </w:pPr>
      <w:r>
        <w:rPr>
          <w:rFonts w:ascii="Consolas" w:hAnsi="Consolas" w:cs="Consolas"/>
          <w:sz w:val="19"/>
        </w:rPr>
        <w:t>on_hand</w:t>
      </w:r>
      <w:r>
        <w:rPr>
          <w:sz w:val="20"/>
        </w:rPr>
        <w:t xml:space="preserve"> equals the sum of that variant's stock movements.</w:t>
      </w:r>
    </w:p>
    <w:p>
      <w:pPr>
        <w:pStyle w:val="ListBullet"/>
        <w:spacing w:after="20" w:line="228" w:lineRule="auto"/>
      </w:pPr>
      <w:r>
        <w:rPr>
          <w:rFonts w:ascii="Consolas" w:hAnsi="Consolas" w:cs="Consolas"/>
          <w:sz w:val="19"/>
        </w:rPr>
        <w:t>on_hand</w:t>
      </w:r>
      <w:r>
        <w:rPr>
          <w:sz w:val="20"/>
        </w:rPr>
        <w:t xml:space="preserve"> and </w:t>
      </w:r>
      <w:r>
        <w:rPr>
          <w:rFonts w:ascii="Consolas" w:hAnsi="Consolas" w:cs="Consolas"/>
          <w:sz w:val="19"/>
        </w:rPr>
        <w:t>reserved</w:t>
      </w:r>
      <w:r>
        <w:rPr>
          <w:sz w:val="20"/>
        </w:rPr>
        <w:t xml:space="preserve"> are never negative, and </w:t>
      </w:r>
      <w:r>
        <w:rPr>
          <w:rFonts w:ascii="Consolas" w:hAnsi="Consolas" w:cs="Consolas"/>
          <w:sz w:val="19"/>
        </w:rPr>
        <w:t>reserved</w:t>
      </w:r>
      <w:r>
        <w:rPr>
          <w:sz w:val="20"/>
        </w:rPr>
        <w:t xml:space="preserve"> never exceeds </w:t>
      </w:r>
      <w:r>
        <w:rPr>
          <w:rFonts w:ascii="Consolas" w:hAnsi="Consolas" w:cs="Consolas"/>
          <w:sz w:val="19"/>
        </w:rPr>
        <w:t>on_hand</w:t>
      </w:r>
      <w:r>
        <w:rPr>
          <w:sz w:val="20"/>
        </w:rPr>
        <w:t>.</w:t>
      </w:r>
    </w:p>
    <w:p>
      <w:pPr>
        <w:pStyle w:val="ListBullet"/>
        <w:spacing w:after="20" w:line="228" w:lineRule="auto"/>
      </w:pPr>
      <w:r>
        <w:rPr>
          <w:sz w:val="20"/>
        </w:rPr>
        <w:t>Every order total is internally consistent (</w:t>
      </w:r>
      <w:r>
        <w:rPr>
          <w:rFonts w:ascii="Consolas" w:hAnsi="Consolas" w:cs="Consolas"/>
          <w:sz w:val="19"/>
        </w:rPr>
        <w:t>total = subtotal + tax + shipping</w:t>
      </w:r>
      <w:r>
        <w:rPr>
          <w:sz w:val="20"/>
        </w:rPr>
        <w:t>).</w:t>
      </w:r>
    </w:p>
    <w:p>
      <w:pPr>
        <w:pStyle w:val="ListBullet"/>
        <w:spacing w:after="20" w:line="228" w:lineRule="auto"/>
      </w:pPr>
      <w:r>
        <w:rPr>
          <w:sz w:val="20"/>
        </w:rPr>
        <w:t>No order holds stock it does not own.</w:t>
      </w:r>
    </w:p>
    <w:p>
      <w:pPr>
        <w:pStyle w:val="ListBullet"/>
        <w:spacing w:after="20" w:line="228" w:lineRule="auto"/>
      </w:pPr>
      <w:r>
        <w:rPr>
          <w:sz w:val="20"/>
        </w:rPr>
        <w:t>Every meaningful write leaves an audit event.</w:t>
      </w:r>
    </w:p>
    <w:p>
      <w:pPr>
        <w:keepNext/>
        <w:spacing w:before="100" w:after="40"/>
      </w:pPr>
      <w:r>
        <w:rPr>
          <w:b/>
          <w:color w:val="2E5496"/>
          <w:sz w:val="20"/>
        </w:rPr>
        <w:t>§2.6 Money is an integer number of paise</w:t>
      </w:r>
    </w:p>
    <w:p>
      <w:r>
        <w:rPr>
          <w:sz w:val="20"/>
        </w:rPr>
        <w:t>Floating-point money drifts. Every monetary column in the schema is an integer, in paise (1 rupee = 100 paise), and every price, tax and shipping figure is computed in integers. The suite has a test that asserts no money column is ever stored as a float, and another that reproduces a cart total by hand and compares it exactly.</w:t>
      </w:r>
    </w:p>
    <w:p>
      <w:pPr>
        <w:keepNext/>
        <w:spacing w:before="100" w:after="40"/>
      </w:pPr>
      <w:r>
        <w:rPr>
          <w:b/>
          <w:color w:val="2E5496"/>
          <w:sz w:val="20"/>
        </w:rPr>
        <w:t>§2.7 Closed state machines</w:t>
      </w:r>
    </w:p>
    <w:p>
      <w:r>
        <w:rPr>
          <w:sz w:val="20"/>
        </w:rPr>
        <w:t xml:space="preserve">Orders, returns and tracking events each move through a </w:t>
      </w:r>
      <w:r>
        <w:rPr>
          <w:b/>
          <w:sz w:val="20"/>
        </w:rPr>
        <w:t>closed</w:t>
      </w:r>
      <w:r>
        <w:rPr>
          <w:sz w:val="20"/>
        </w:rPr>
        <w:t xml:space="preserve"> sequence: a transition is legal only if it appears in an explicit map, and everything else is refused with </w:t>
      </w:r>
      <w:r>
        <w:rPr>
          <w:rFonts w:ascii="Consolas" w:hAnsi="Consolas" w:cs="Consolas"/>
          <w:sz w:val="19"/>
        </w:rPr>
        <w:t>422</w:t>
      </w:r>
      <w:r>
        <w:rPr>
          <w:sz w:val="20"/>
        </w:rPr>
        <w:t xml:space="preserve"> and the list of states that </w:t>
      </w:r>
      <w:r>
        <w:rPr>
          <w:i/>
          <w:sz w:val="20"/>
        </w:rPr>
        <w:t>are</w:t>
      </w:r>
      <w:r>
        <w:rPr>
          <w:sz w:val="20"/>
        </w:rPr>
        <w:t xml:space="preserve"> legal. Crucially, the status endpoint refuses the transitions that move money or stock — </w:t>
      </w:r>
      <w:r>
        <w:rPr>
          <w:rFonts w:ascii="Consolas" w:hAnsi="Consolas" w:cs="Consolas"/>
          <w:sz w:val="19"/>
        </w:rPr>
        <w:t>→ shipped</w:t>
      </w:r>
      <w:r>
        <w:rPr>
          <w:sz w:val="20"/>
        </w:rPr>
        <w:t xml:space="preserve"> and </w:t>
      </w:r>
      <w:r>
        <w:rPr>
          <w:rFonts w:ascii="Consolas" w:hAnsi="Consolas" w:cs="Consolas"/>
          <w:sz w:val="19"/>
        </w:rPr>
        <w:t>→ cancelled</w:t>
      </w:r>
      <w:r>
        <w:rPr>
          <w:sz w:val="20"/>
        </w:rPr>
        <w:t xml:space="preserve"> — and names the endpoint that must be used instead. A closed machine means an invalid state is unrepresentable, not merely unlikely.</w:t>
      </w:r>
    </w:p>
    <w:p>
      <w:pPr>
        <w:keepNext/>
        <w:spacing w:before="100" w:after="40"/>
      </w:pPr>
      <w:r>
        <w:rPr>
          <w:b/>
          <w:color w:val="2E5496"/>
          <w:sz w:val="20"/>
        </w:rPr>
        <w:t>§2.8 Idempotency</w:t>
      </w:r>
    </w:p>
    <w:p>
      <w:r>
        <w:rPr>
          <w:sz w:val="20"/>
        </w:rPr>
        <w:t xml:space="preserve">A customer who taps "pay" twice must be charged once. Payments require an </w:t>
      </w:r>
      <w:r>
        <w:rPr>
          <w:rFonts w:ascii="Consolas" w:hAnsi="Consolas" w:cs="Consolas"/>
          <w:sz w:val="19"/>
        </w:rPr>
        <w:t>idempotency_key</w:t>
      </w:r>
      <w:r>
        <w:rPr>
          <w:sz w:val="20"/>
        </w:rPr>
        <w:t xml:space="preserve">; replaying a key returns the original payment with </w:t>
      </w:r>
      <w:r>
        <w:rPr>
          <w:rFonts w:ascii="Consolas" w:hAnsi="Consolas" w:cs="Consolas"/>
          <w:sz w:val="19"/>
        </w:rPr>
        <w:t>replayed: true</w:t>
      </w:r>
      <w:r>
        <w:rPr>
          <w:sz w:val="20"/>
        </w:rPr>
        <w:t xml:space="preserve"> and writes no second row. Two concurrent requests with the same key produce exactly one payment row. The same discipline governs "mark this notification read" — the second call is a no-op, not an error.</w:t>
      </w:r>
    </w:p>
    <w:p>
      <w:pPr>
        <w:keepNext/>
        <w:spacing w:before="100" w:after="40"/>
      </w:pPr>
      <w:r>
        <w:rPr>
          <w:b/>
          <w:color w:val="2E5496"/>
          <w:sz w:val="20"/>
        </w:rPr>
        <w:t>§2.9 Role-based access control</w:t>
      </w:r>
    </w:p>
    <w:p>
      <w:r>
        <w:rPr>
          <w:sz w:val="20"/>
        </w:rPr>
        <w:t xml:space="preserve">Every list and mutation is scoped to the roles permitted to see or change it. A customer sees only their own orders and returns; a warehouse operator sees inventory and a dispatch queue; finance sees the payment ledger and reconciliation; admin sees the audit ledger. Refusals are meaningful: a </w:t>
      </w:r>
      <w:r>
        <w:rPr>
          <w:rFonts w:ascii="Consolas" w:hAnsi="Consolas" w:cs="Consolas"/>
          <w:sz w:val="19"/>
        </w:rPr>
        <w:t>403</w:t>
      </w:r>
      <w:r>
        <w:rPr>
          <w:sz w:val="20"/>
        </w:rPr>
        <w:t xml:space="preserve"> names the roles that </w:t>
      </w:r>
      <w:r>
        <w:rPr>
          <w:i/>
          <w:sz w:val="20"/>
        </w:rPr>
        <w:t>would</w:t>
      </w:r>
      <w:r>
        <w:rPr>
          <w:sz w:val="20"/>
        </w:rPr>
        <w:t xml:space="preserve"> have been allowed, so a programmer reading the response knows what to change.</w:t>
      </w:r>
    </w:p>
    <w:p>
      <w:pPr>
        <w:spacing w:before="80" w:after="80"/>
        <w:pBdr>
          <w:bottom w:val="single" w:sz="6" w:space="1" w:color="BBBBBB"/>
        </w:pBdr>
      </w:pPr>
    </w:p>
    <w:p>
      <w:pPr>
        <w:keepNext/>
        <w:spacing w:before="140" w:after="40"/>
      </w:pPr>
      <w:r>
        <w:rPr>
          <w:b/>
          <w:color w:val="2E5496"/>
          <w:sz w:val="22"/>
        </w:rPr>
        <w:t>3. Jira — the work</w:t>
      </w:r>
    </w:p>
    <w:p>
      <w:pPr>
        <w:keepNext/>
        <w:spacing w:before="100" w:after="40"/>
      </w:pPr>
      <w:r>
        <w:rPr>
          <w:b/>
          <w:color w:val="2E5496"/>
          <w:sz w:val="20"/>
        </w:rPr>
        <w:t>§3.1 The project and the board</w:t>
      </w:r>
    </w:p>
    <w:p>
      <w:r>
        <w:rPr>
          <w:sz w:val="20"/>
        </w:rPr>
        <w:t xml:space="preserve">The project is </w:t>
      </w:r>
      <w:r>
        <w:rPr>
          <w:b/>
          <w:sz w:val="20"/>
        </w:rPr>
        <w:t>SCRUM</w:t>
      </w:r>
      <w:r>
        <w:rPr>
          <w:sz w:val="20"/>
        </w:rPr>
        <w:t xml:space="preserve"> in Jira Cloud, on a scrum board backed by a backlog. It holds seven epics (</w:t>
      </w:r>
      <w:r>
        <w:rPr>
          <w:rFonts w:ascii="Consolas" w:hAnsi="Consolas" w:cs="Consolas"/>
          <w:sz w:val="19"/>
        </w:rPr>
        <w:t>E1</w:t>
      </w:r>
      <w:r>
        <w:rPr>
          <w:sz w:val="20"/>
        </w:rPr>
        <w:t>–</w:t>
      </w:r>
      <w:r>
        <w:rPr>
          <w:rFonts w:ascii="Consolas" w:hAnsi="Consolas" w:cs="Consolas"/>
          <w:sz w:val="19"/>
        </w:rPr>
        <w:t>E7</w:t>
      </w:r>
      <w:r>
        <w:rPr>
          <w:sz w:val="20"/>
        </w:rPr>
        <w:t xml:space="preserve">) and 26 work items. The audit that closes this lab moved the last 16 stories to </w:t>
      </w:r>
      <w:r>
        <w:rPr>
          <w:b/>
          <w:sz w:val="20"/>
        </w:rPr>
        <w:t>Done</w:t>
      </w:r>
      <w:r>
        <w:rPr>
          <w:sz w:val="20"/>
        </w:rPr>
        <w:t>, so the board's Done column now holds every item in the sprint.</w:t>
      </w:r>
    </w:p>
    <w:p>
      <w:r>
        <w:rPr>
          <w:b/>
          <w:sz w:val="20"/>
        </w:rPr>
        <w:t>SS-1 — The board after the audit.</w:t>
      </w:r>
    </w:p>
    <w:tbl>
      <w:tblPr>
        <w:tblW w:type="auto" w:w="0"/>
        <w:tblLayout w:type="fixed"/>
        <w:tblLook w:firstColumn="1" w:firstRow="1" w:lastColumn="0" w:lastRow="0" w:noHBand="0" w:noVBand="1" w:val="04A0"/>
      </w:tblPr>
      <w:tblGrid>
        <w:gridCol w:w="4968"/>
        <w:gridCol w:w="4968"/>
      </w:tblGrid>
      <w:tr>
        <w:tc>
          <w:tcPr>
            <w:tcW w:type="dxa" w:w="4824"/>
          </w:tcPr>
          <w:p>
            <w:pPr>
              <w:spacing w:before="20" w:after="20"/>
              <w:jc w:val="center"/>
            </w:pPr>
            <w:r>
              <w:drawing>
                <wp:inline xmlns:a="http://schemas.openxmlformats.org/drawingml/2006/main" xmlns:pic="http://schemas.openxmlformats.org/drawingml/2006/picture">
                  <wp:extent cx="2706624" cy="1691640"/>
                  <wp:docPr id="1" name="Picture 1"/>
                  <wp:cNvGraphicFramePr>
                    <a:graphicFrameLocks noChangeAspect="1"/>
                  </wp:cNvGraphicFramePr>
                  <a:graphic>
                    <a:graphicData uri="http://schemas.openxmlformats.org/drawingml/2006/picture">
                      <pic:pic>
                        <pic:nvPicPr>
                          <pic:cNvPr id="0" name="SS-01-jira-board.png"/>
                          <pic:cNvPicPr/>
                        </pic:nvPicPr>
                        <pic:blipFill>
                          <a:blip r:embed="rId9"/>
                          <a:stretch>
                            <a:fillRect/>
                          </a:stretch>
                        </pic:blipFill>
                        <pic:spPr>
                          <a:xfrm>
                            <a:off x="0" y="0"/>
                            <a:ext cx="2706624" cy="1691640"/>
                          </a:xfrm>
                          <a:prstGeom prst="rect"/>
                        </pic:spPr>
                      </pic:pic>
                    </a:graphicData>
                  </a:graphic>
                </wp:inline>
              </w:drawing>
            </w:r>
          </w:p>
        </w:tc>
        <w:tc>
          <w:tcPr>
            <w:tcW w:type="dxa" w:w="4464"/>
          </w:tcPr>
          <w:p>
            <w:pPr>
              <w:spacing w:after="10" w:before="0" w:line="228" w:lineRule="auto"/>
            </w:pPr>
            <w:r>
              <w:rPr>
                <w:b/>
                <w:sz w:val="16"/>
              </w:rPr>
              <w:t xml:space="preserve">Tool: </w:t>
            </w:r>
            <w:r>
              <w:rPr>
                <w:sz w:val="16"/>
              </w:rPr>
              <w:t>Jira Cloud</w:t>
            </w:r>
          </w:p>
          <w:p>
            <w:pPr>
              <w:spacing w:after="10" w:before="0" w:line="228" w:lineRule="auto"/>
            </w:pPr>
            <w:r>
              <w:rPr>
                <w:b/>
                <w:sz w:val="16"/>
              </w:rPr>
              <w:t xml:space="preserve">Where: </w:t>
            </w:r>
            <w:r>
              <w:rPr>
                <w:rFonts w:ascii="Consolas" w:hAnsi="Consolas" w:cs="Consolas"/>
                <w:sz w:val="15"/>
              </w:rPr>
              <w:t>https://sarthakpagare005.atlassian.net/jira/software/projects/SCRUM/boards/1</w:t>
            </w:r>
          </w:p>
          <w:p>
            <w:pPr>
              <w:spacing w:after="10" w:before="0" w:line="228" w:lineRule="auto"/>
            </w:pPr>
            <w:r>
              <w:rPr>
                <w:b/>
                <w:sz w:val="16"/>
              </w:rPr>
              <w:t xml:space="preserve">Must show: </w:t>
            </w:r>
            <w:r>
              <w:rPr>
                <w:sz w:val="16"/>
              </w:rPr>
              <w:t xml:space="preserve">The board with every column visible and the Done column populated — To Do </w:t>
            </w:r>
            <w:r>
              <w:rPr>
                <w:rFonts w:ascii="Consolas" w:hAnsi="Consolas" w:cs="Consolas"/>
                <w:sz w:val="15"/>
              </w:rPr>
              <w:t>0</w:t>
            </w:r>
            <w:r>
              <w:rPr>
                <w:sz w:val="16"/>
              </w:rPr>
              <w:t xml:space="preserve">, In Progress </w:t>
            </w:r>
            <w:r>
              <w:rPr>
                <w:rFonts w:ascii="Consolas" w:hAnsi="Consolas" w:cs="Consolas"/>
                <w:sz w:val="15"/>
              </w:rPr>
              <w:t>0</w:t>
            </w:r>
            <w:r>
              <w:rPr>
                <w:sz w:val="16"/>
              </w:rPr>
              <w:t xml:space="preserve">, In Review </w:t>
            </w:r>
            <w:r>
              <w:rPr>
                <w:rFonts w:ascii="Consolas" w:hAnsi="Consolas" w:cs="Consolas"/>
                <w:sz w:val="15"/>
              </w:rPr>
              <w:t>0</w:t>
            </w:r>
            <w:r>
              <w:rPr>
                <w:sz w:val="16"/>
              </w:rPr>
              <w:t xml:space="preserve">, Done </w:t>
            </w:r>
            <w:r>
              <w:rPr>
                <w:rFonts w:ascii="Consolas" w:hAnsi="Consolas" w:cs="Consolas"/>
                <w:sz w:val="15"/>
              </w:rPr>
              <w:t>26</w:t>
            </w:r>
          </w:p>
          <w:p>
            <w:pPr>
              <w:spacing w:after="10" w:before="0" w:line="228" w:lineRule="auto"/>
            </w:pPr>
            <w:r>
              <w:rPr>
                <w:b/>
                <w:sz w:val="16"/>
              </w:rPr>
              <w:t xml:space="preserve">Why: </w:t>
            </w:r>
            <w:r>
              <w:rPr>
                <w:sz w:val="16"/>
              </w:rPr>
              <w:t>Shows the Definition of Done from §2.2 satisfied for the whole sprint; the board is the single source of "what is planned" from §2.1</w:t>
            </w:r>
          </w:p>
          <w:p>
            <w:pPr>
              <w:spacing w:before="0" w:after="20"/>
            </w:pPr>
            <w:r>
              <w:rPr>
                <w:i/>
                <w:color w:val="666666"/>
                <w:sz w:val="14"/>
              </w:rPr>
              <w:t>The SCRUM board with all 26 items in Done</w:t>
            </w:r>
          </w:p>
        </w:tc>
      </w:tr>
    </w:tbl>
    <w:p>
      <w:pPr>
        <w:spacing w:after="40" w:before="0"/>
      </w:pPr>
    </w:p>
    <w:p>
      <w:pPr>
        <w:keepNext/>
        <w:spacing w:before="100" w:after="40"/>
      </w:pPr>
      <w:r>
        <w:rPr>
          <w:b/>
          <w:color w:val="2E5496"/>
          <w:sz w:val="20"/>
        </w:rPr>
        <w:t>§3.2 The backlog and the epics</w:t>
      </w:r>
    </w:p>
    <w:p>
      <w:r>
        <w:rPr>
          <w:sz w:val="20"/>
        </w:rPr>
        <w:t>The backlog is grouped by epic, so each story sits directly under the value it delivers. The seven epics are:</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r>
            <w:r>
              <w:rPr>
                <w:b/>
                <w:sz w:val="18"/>
              </w:rPr>
              <w:t>Epic</w:t>
            </w:r>
          </w:p>
        </w:tc>
        <w:tc>
          <w:tcPr>
            <w:tcW w:type="dxa" w:w="3312"/>
          </w:tcPr>
          <w:p>
            <w:r>
              <w:rPr>
                <w:b/>
              </w:rPr>
            </w:r>
            <w:r>
              <w:rPr>
                <w:b/>
                <w:sz w:val="18"/>
              </w:rPr>
              <w:t>Theme</w:t>
            </w:r>
          </w:p>
        </w:tc>
        <w:tc>
          <w:tcPr>
            <w:tcW w:type="dxa" w:w="3312"/>
          </w:tcPr>
          <w:p>
            <w:r>
              <w:rPr>
                <w:b/>
              </w:rPr>
            </w:r>
            <w:r>
              <w:rPr>
                <w:b/>
                <w:sz w:val="18"/>
              </w:rPr>
              <w:t>Stories</w:t>
            </w:r>
          </w:p>
        </w:tc>
      </w:tr>
      <w:tr>
        <w:tc>
          <w:tcPr>
            <w:tcW w:type="dxa" w:w="3312"/>
          </w:tcPr>
          <w:p>
            <w:r>
              <w:rPr>
                <w:b/>
              </w:rPr>
            </w:r>
            <w:r>
              <w:rPr>
                <w:b/>
                <w:sz w:val="18"/>
              </w:rPr>
              <w:t>E1</w:t>
            </w:r>
          </w:p>
        </w:tc>
        <w:tc>
          <w:tcPr>
            <w:tcW w:type="dxa" w:w="3312"/>
          </w:tcPr>
          <w:p>
            <w:r/>
            <w:r>
              <w:rPr>
                <w:sz w:val="18"/>
              </w:rPr>
              <w:t>Accounts, roles, addresses and notifications</w:t>
            </w:r>
          </w:p>
        </w:tc>
        <w:tc>
          <w:tcPr>
            <w:tcW w:type="dxa" w:w="3312"/>
          </w:tcPr>
          <w:p>
            <w:r/>
            <w:r>
              <w:rPr>
                <w:sz w:val="18"/>
              </w:rPr>
              <w:t>4</w:t>
            </w:r>
          </w:p>
        </w:tc>
      </w:tr>
      <w:tr>
        <w:tc>
          <w:tcPr>
            <w:tcW w:type="dxa" w:w="3312"/>
          </w:tcPr>
          <w:p>
            <w:r>
              <w:rPr>
                <w:b/>
              </w:rPr>
            </w:r>
            <w:r>
              <w:rPr>
                <w:b/>
                <w:sz w:val="18"/>
              </w:rPr>
              <w:t>E2</w:t>
            </w:r>
          </w:p>
        </w:tc>
        <w:tc>
          <w:tcPr>
            <w:tcW w:type="dxa" w:w="3312"/>
          </w:tcPr>
          <w:p>
            <w:r/>
            <w:r>
              <w:rPr>
                <w:sz w:val="18"/>
              </w:rPr>
              <w:t>Catalogue, SKUs and pricing</w:t>
            </w:r>
          </w:p>
        </w:tc>
        <w:tc>
          <w:tcPr>
            <w:tcW w:type="dxa" w:w="3312"/>
          </w:tcPr>
          <w:p>
            <w:r/>
            <w:r>
              <w:rPr>
                <w:sz w:val="18"/>
              </w:rPr>
              <w:t>4</w:t>
            </w:r>
          </w:p>
        </w:tc>
      </w:tr>
      <w:tr>
        <w:tc>
          <w:tcPr>
            <w:tcW w:type="dxa" w:w="3312"/>
          </w:tcPr>
          <w:p>
            <w:r>
              <w:rPr>
                <w:b/>
              </w:rPr>
            </w:r>
            <w:r>
              <w:rPr>
                <w:b/>
                <w:sz w:val="18"/>
              </w:rPr>
              <w:t>E3</w:t>
            </w:r>
          </w:p>
        </w:tc>
        <w:tc>
          <w:tcPr>
            <w:tcW w:type="dxa" w:w="3312"/>
          </w:tcPr>
          <w:p>
            <w:r/>
            <w:r>
              <w:rPr>
                <w:sz w:val="18"/>
              </w:rPr>
              <w:t>Stock levels and the no-oversell rule</w:t>
            </w:r>
          </w:p>
        </w:tc>
        <w:tc>
          <w:tcPr>
            <w:tcW w:type="dxa" w:w="3312"/>
          </w:tcPr>
          <w:p>
            <w:r/>
            <w:r>
              <w:rPr>
                <w:sz w:val="18"/>
              </w:rPr>
              <w:t>4</w:t>
            </w:r>
          </w:p>
        </w:tc>
      </w:tr>
      <w:tr>
        <w:tc>
          <w:tcPr>
            <w:tcW w:type="dxa" w:w="3312"/>
          </w:tcPr>
          <w:p>
            <w:r>
              <w:rPr>
                <w:b/>
              </w:rPr>
            </w:r>
            <w:r>
              <w:rPr>
                <w:b/>
                <w:sz w:val="18"/>
              </w:rPr>
              <w:t>E4</w:t>
            </w:r>
          </w:p>
        </w:tc>
        <w:tc>
          <w:tcPr>
            <w:tcW w:type="dxa" w:w="3312"/>
          </w:tcPr>
          <w:p>
            <w:r/>
            <w:r>
              <w:rPr>
                <w:sz w:val="18"/>
              </w:rPr>
              <w:t>Cart, checkout and the order lifecycle</w:t>
            </w:r>
          </w:p>
        </w:tc>
        <w:tc>
          <w:tcPr>
            <w:tcW w:type="dxa" w:w="3312"/>
          </w:tcPr>
          <w:p>
            <w:r/>
            <w:r>
              <w:rPr>
                <w:sz w:val="18"/>
              </w:rPr>
              <w:t>5</w:t>
            </w:r>
          </w:p>
        </w:tc>
      </w:tr>
      <w:tr>
        <w:tc>
          <w:tcPr>
            <w:tcW w:type="dxa" w:w="3312"/>
          </w:tcPr>
          <w:p>
            <w:r>
              <w:rPr>
                <w:b/>
              </w:rPr>
            </w:r>
            <w:r>
              <w:rPr>
                <w:b/>
                <w:sz w:val="18"/>
              </w:rPr>
              <w:t>E5</w:t>
            </w:r>
          </w:p>
        </w:tc>
        <w:tc>
          <w:tcPr>
            <w:tcW w:type="dxa" w:w="3312"/>
          </w:tcPr>
          <w:p>
            <w:r/>
            <w:r>
              <w:rPr>
                <w:sz w:val="18"/>
              </w:rPr>
              <w:t>Payments, returns and refunds</w:t>
            </w:r>
          </w:p>
        </w:tc>
        <w:tc>
          <w:tcPr>
            <w:tcW w:type="dxa" w:w="3312"/>
          </w:tcPr>
          <w:p>
            <w:r/>
            <w:r>
              <w:rPr>
                <w:sz w:val="18"/>
              </w:rPr>
              <w:t>4</w:t>
            </w:r>
          </w:p>
        </w:tc>
      </w:tr>
      <w:tr>
        <w:tc>
          <w:tcPr>
            <w:tcW w:type="dxa" w:w="3312"/>
          </w:tcPr>
          <w:p>
            <w:r>
              <w:rPr>
                <w:b/>
              </w:rPr>
            </w:r>
            <w:r>
              <w:rPr>
                <w:b/>
                <w:sz w:val="18"/>
              </w:rPr>
              <w:t>E6</w:t>
            </w:r>
          </w:p>
        </w:tc>
        <w:tc>
          <w:tcPr>
            <w:tcW w:type="dxa" w:w="3312"/>
          </w:tcPr>
          <w:p>
            <w:r/>
            <w:r>
              <w:rPr>
                <w:sz w:val="18"/>
              </w:rPr>
              <w:t>Fulfilment, dispatch and tracking</w:t>
            </w:r>
          </w:p>
        </w:tc>
        <w:tc>
          <w:tcPr>
            <w:tcW w:type="dxa" w:w="3312"/>
          </w:tcPr>
          <w:p>
            <w:r/>
            <w:r>
              <w:rPr>
                <w:sz w:val="18"/>
              </w:rPr>
              <w:t>3</w:t>
            </w:r>
          </w:p>
        </w:tc>
      </w:tr>
      <w:tr>
        <w:tc>
          <w:tcPr>
            <w:tcW w:type="dxa" w:w="3312"/>
          </w:tcPr>
          <w:p>
            <w:r>
              <w:rPr>
                <w:b/>
              </w:rPr>
            </w:r>
            <w:r>
              <w:rPr>
                <w:b/>
                <w:sz w:val="18"/>
              </w:rPr>
              <w:t>E7</w:t>
            </w:r>
          </w:p>
        </w:tc>
        <w:tc>
          <w:tcPr>
            <w:tcW w:type="dxa" w:w="3312"/>
          </w:tcPr>
          <w:p>
            <w:r/>
            <w:r>
              <w:rPr>
                <w:sz w:val="18"/>
              </w:rPr>
              <w:t>Reporting and audit</w:t>
            </w:r>
          </w:p>
        </w:tc>
        <w:tc>
          <w:tcPr>
            <w:tcW w:type="dxa" w:w="3312"/>
          </w:tcPr>
          <w:p>
            <w:r/>
            <w:r>
              <w:rPr>
                <w:sz w:val="18"/>
              </w:rPr>
              <w:t>2</w:t>
            </w:r>
          </w:p>
        </w:tc>
      </w:tr>
    </w:tbl>
    <w:p>
      <w:pPr>
        <w:spacing w:after="20"/>
      </w:pPr>
    </w:p>
    <w:p>
      <w:r>
        <w:rPr>
          <w:b/>
          <w:sz w:val="20"/>
        </w:rPr>
        <w:t>SS-2 — The backlog grouped by epic.</w:t>
      </w:r>
    </w:p>
    <w:tbl>
      <w:tblPr>
        <w:tblW w:type="auto" w:w="0"/>
        <w:tblLayout w:type="fixed"/>
        <w:tblLook w:firstColumn="1" w:firstRow="1" w:lastColumn="0" w:lastRow="0" w:noHBand="0" w:noVBand="1" w:val="04A0"/>
      </w:tblPr>
      <w:tblGrid>
        <w:gridCol w:w="4968"/>
        <w:gridCol w:w="4968"/>
      </w:tblGrid>
      <w:tr>
        <w:tc>
          <w:tcPr>
            <w:tcW w:type="dxa" w:w="4824"/>
          </w:tcPr>
          <w:p>
            <w:pPr>
              <w:spacing w:before="20" w:after="20"/>
              <w:jc w:val="center"/>
            </w:pPr>
            <w:r>
              <w:drawing>
                <wp:inline xmlns:a="http://schemas.openxmlformats.org/drawingml/2006/main" xmlns:pic="http://schemas.openxmlformats.org/drawingml/2006/picture">
                  <wp:extent cx="2706624" cy="1691640"/>
                  <wp:docPr id="2" name="Picture 2"/>
                  <wp:cNvGraphicFramePr>
                    <a:graphicFrameLocks noChangeAspect="1"/>
                  </wp:cNvGraphicFramePr>
                  <a:graphic>
                    <a:graphicData uri="http://schemas.openxmlformats.org/drawingml/2006/picture">
                      <pic:pic>
                        <pic:nvPicPr>
                          <pic:cNvPr id="0" name="SS-02-jira-backlog.png"/>
                          <pic:cNvPicPr/>
                        </pic:nvPicPr>
                        <pic:blipFill>
                          <a:blip r:embed="rId10"/>
                          <a:stretch>
                            <a:fillRect/>
                          </a:stretch>
                        </pic:blipFill>
                        <pic:spPr>
                          <a:xfrm>
                            <a:off x="0" y="0"/>
                            <a:ext cx="2706624" cy="1691640"/>
                          </a:xfrm>
                          <a:prstGeom prst="rect"/>
                        </pic:spPr>
                      </pic:pic>
                    </a:graphicData>
                  </a:graphic>
                </wp:inline>
              </w:drawing>
            </w:r>
          </w:p>
        </w:tc>
        <w:tc>
          <w:tcPr>
            <w:tcW w:type="dxa" w:w="4464"/>
          </w:tcPr>
          <w:p>
            <w:pPr>
              <w:spacing w:after="10" w:before="0" w:line="228" w:lineRule="auto"/>
            </w:pPr>
            <w:r>
              <w:rPr>
                <w:b/>
                <w:sz w:val="16"/>
              </w:rPr>
              <w:t xml:space="preserve">Tool: </w:t>
            </w:r>
            <w:r>
              <w:rPr>
                <w:sz w:val="16"/>
              </w:rPr>
              <w:t>Jira Cloud</w:t>
            </w:r>
          </w:p>
          <w:p>
            <w:pPr>
              <w:spacing w:after="10" w:before="0" w:line="228" w:lineRule="auto"/>
            </w:pPr>
            <w:r>
              <w:rPr>
                <w:b/>
                <w:sz w:val="16"/>
              </w:rPr>
              <w:t xml:space="preserve">Where: </w:t>
            </w:r>
            <w:r>
              <w:rPr>
                <w:sz w:val="16"/>
              </w:rPr>
              <w:t>Backlog view of project SCRUM</w:t>
            </w:r>
          </w:p>
          <w:p>
            <w:pPr>
              <w:spacing w:after="10" w:before="0" w:line="228" w:lineRule="auto"/>
            </w:pPr>
            <w:r>
              <w:rPr>
                <w:b/>
                <w:sz w:val="16"/>
              </w:rPr>
              <w:t xml:space="preserve">Must show: </w:t>
            </w:r>
            <w:r>
              <w:rPr>
                <w:sz w:val="16"/>
              </w:rPr>
              <w:t>The epics, with their stories nested beneath them and statuses visible</w:t>
            </w:r>
          </w:p>
          <w:p>
            <w:pPr>
              <w:spacing w:after="10" w:before="0" w:line="228" w:lineRule="auto"/>
            </w:pPr>
            <w:r>
              <w:rPr>
                <w:b/>
                <w:sz w:val="16"/>
              </w:rPr>
              <w:t xml:space="preserve">Why: </w:t>
            </w:r>
            <w:r>
              <w:rPr>
                <w:sz w:val="16"/>
              </w:rPr>
              <w:t>Shows the epic → story → acceptance-criteria hierarchy described in §2.2</w:t>
            </w:r>
          </w:p>
          <w:p>
            <w:pPr>
              <w:spacing w:before="0" w:after="20"/>
            </w:pPr>
            <w:r>
              <w:rPr>
                <w:i/>
                <w:color w:val="666666"/>
                <w:sz w:val="14"/>
              </w:rPr>
              <w:t>The backlog with epics and their nested stories</w:t>
            </w:r>
          </w:p>
        </w:tc>
      </w:tr>
    </w:tbl>
    <w:p>
      <w:pPr>
        <w:spacing w:after="40" w:before="0"/>
      </w:pPr>
    </w:p>
    <w:p>
      <w:pPr>
        <w:keepNext/>
        <w:spacing w:before="100" w:after="40"/>
      </w:pPr>
      <w:r>
        <w:rPr>
          <w:b/>
          <w:color w:val="2E5496"/>
          <w:sz w:val="20"/>
        </w:rPr>
        <w:t>§3.3 A story and its acceptance criteria</w:t>
      </w:r>
    </w:p>
    <w:p>
      <w:r>
        <w:rPr>
          <w:sz w:val="20"/>
        </w:rPr>
        <w:t>Every story carries its ACs on the issue itself. The example below is the no-oversell story, which is the one that turns a race condition into an invariant.</w:t>
      </w:r>
    </w:p>
    <w:p>
      <w:r>
        <w:rPr>
          <w:b/>
          <w:sz w:val="20"/>
        </w:rPr>
        <w:t>SS-3 — A story with its acceptance criteria.</w:t>
      </w:r>
    </w:p>
    <w:tbl>
      <w:tblPr>
        <w:tblW w:type="auto" w:w="0"/>
        <w:tblLayout w:type="fixed"/>
        <w:tblLook w:firstColumn="1" w:firstRow="1" w:lastColumn="0" w:lastRow="0" w:noHBand="0" w:noVBand="1" w:val="04A0"/>
      </w:tblPr>
      <w:tblGrid>
        <w:gridCol w:w="4968"/>
        <w:gridCol w:w="4968"/>
      </w:tblGrid>
      <w:tr>
        <w:tc>
          <w:tcPr>
            <w:tcW w:type="dxa" w:w="4824"/>
          </w:tcPr>
          <w:p>
            <w:pPr>
              <w:spacing w:before="20" w:after="20"/>
              <w:jc w:val="center"/>
            </w:pPr>
            <w:r>
              <w:drawing>
                <wp:inline xmlns:a="http://schemas.openxmlformats.org/drawingml/2006/main" xmlns:pic="http://schemas.openxmlformats.org/drawingml/2006/picture">
                  <wp:extent cx="2706624" cy="1691640"/>
                  <wp:docPr id="3" name="Picture 3"/>
                  <wp:cNvGraphicFramePr>
                    <a:graphicFrameLocks noChangeAspect="1"/>
                  </wp:cNvGraphicFramePr>
                  <a:graphic>
                    <a:graphicData uri="http://schemas.openxmlformats.org/drawingml/2006/picture">
                      <pic:pic>
                        <pic:nvPicPr>
                          <pic:cNvPr id="0" name="SS-03-jira-story.png"/>
                          <pic:cNvPicPr/>
                        </pic:nvPicPr>
                        <pic:blipFill>
                          <a:blip r:embed="rId11"/>
                          <a:stretch>
                            <a:fillRect/>
                          </a:stretch>
                        </pic:blipFill>
                        <pic:spPr>
                          <a:xfrm>
                            <a:off x="0" y="0"/>
                            <a:ext cx="2706624" cy="1691640"/>
                          </a:xfrm>
                          <a:prstGeom prst="rect"/>
                        </pic:spPr>
                      </pic:pic>
                    </a:graphicData>
                  </a:graphic>
                </wp:inline>
              </w:drawing>
            </w:r>
          </w:p>
        </w:tc>
        <w:tc>
          <w:tcPr>
            <w:tcW w:type="dxa" w:w="4464"/>
          </w:tcPr>
          <w:p>
            <w:pPr>
              <w:spacing w:after="10" w:before="0" w:line="228" w:lineRule="auto"/>
            </w:pPr>
            <w:r>
              <w:rPr>
                <w:b/>
                <w:sz w:val="16"/>
              </w:rPr>
              <w:t xml:space="preserve">Tool: </w:t>
            </w:r>
            <w:r>
              <w:rPr>
                <w:sz w:val="16"/>
              </w:rPr>
              <w:t>Jira Cloud</w:t>
            </w:r>
          </w:p>
          <w:p>
            <w:pPr>
              <w:spacing w:after="10" w:before="0" w:line="228" w:lineRule="auto"/>
            </w:pPr>
            <w:r>
              <w:rPr>
                <w:b/>
                <w:sz w:val="16"/>
              </w:rPr>
              <w:t xml:space="preserve">Where: </w:t>
            </w:r>
            <w:r>
              <w:rPr>
                <w:sz w:val="16"/>
              </w:rPr>
              <w:t xml:space="preserve">Issue detail, e.g. </w:t>
            </w:r>
            <w:r>
              <w:rPr>
                <w:rFonts w:ascii="Consolas" w:hAnsi="Consolas" w:cs="Consolas"/>
                <w:sz w:val="15"/>
              </w:rPr>
              <w:t>/browse/SCRUM-29</w:t>
            </w:r>
          </w:p>
          <w:p>
            <w:pPr>
              <w:spacing w:after="10" w:before="0" w:line="228" w:lineRule="auto"/>
            </w:pPr>
            <w:r>
              <w:rPr>
                <w:b/>
                <w:sz w:val="16"/>
              </w:rPr>
              <w:t xml:space="preserve">Must show: </w:t>
            </w:r>
            <w:r>
              <w:rPr>
                <w:sz w:val="16"/>
              </w:rPr>
              <w:t>The story statement and the numbered acceptance criteria</w:t>
            </w:r>
          </w:p>
          <w:p>
            <w:pPr>
              <w:spacing w:after="10" w:before="0" w:line="228" w:lineRule="auto"/>
            </w:pPr>
            <w:r>
              <w:rPr>
                <w:b/>
                <w:sz w:val="16"/>
              </w:rPr>
              <w:t xml:space="preserve">Why: </w:t>
            </w:r>
            <w:r>
              <w:rPr>
                <w:sz w:val="16"/>
              </w:rPr>
              <w:t>Acceptance criteria are the contract that §2.2 says must be testable; this is where the contract lives</w:t>
            </w:r>
          </w:p>
          <w:p>
            <w:pPr>
              <w:spacing w:before="0" w:after="20"/>
            </w:pPr>
            <w:r>
              <w:rPr>
                <w:i/>
                <w:color w:val="666666"/>
                <w:sz w:val="14"/>
              </w:rPr>
              <w:t>A story showing its acceptance criteria</w:t>
            </w:r>
          </w:p>
        </w:tc>
      </w:tr>
    </w:tbl>
    <w:p>
      <w:pPr>
        <w:spacing w:after="40" w:before="0"/>
      </w:pPr>
    </w:p>
    <w:p>
      <w:pPr>
        <w:keepNext/>
        <w:spacing w:before="100" w:after="40"/>
      </w:pPr>
      <w:r>
        <w:rPr>
          <w:b/>
          <w:color w:val="2E5496"/>
          <w:sz w:val="20"/>
        </w:rPr>
        <w:t>§3.4 An epic and its children</w:t>
      </w:r>
    </w:p>
    <w:p>
      <w:r>
        <w:rPr>
          <w:b/>
          <w:sz w:val="20"/>
        </w:rPr>
        <w:t>SS-4 — An epic with its child stories.</w:t>
      </w:r>
    </w:p>
    <w:tbl>
      <w:tblPr>
        <w:tblW w:type="auto" w:w="0"/>
        <w:tblLayout w:type="fixed"/>
        <w:tblLook w:firstColumn="1" w:firstRow="1" w:lastColumn="0" w:lastRow="0" w:noHBand="0" w:noVBand="1" w:val="04A0"/>
      </w:tblPr>
      <w:tblGrid>
        <w:gridCol w:w="4968"/>
        <w:gridCol w:w="4968"/>
      </w:tblGrid>
      <w:tr>
        <w:tc>
          <w:tcPr>
            <w:tcW w:type="dxa" w:w="4824"/>
          </w:tcPr>
          <w:p>
            <w:pPr>
              <w:spacing w:before="20" w:after="20"/>
              <w:jc w:val="center"/>
            </w:pPr>
            <w:r>
              <w:drawing>
                <wp:inline xmlns:a="http://schemas.openxmlformats.org/drawingml/2006/main" xmlns:pic="http://schemas.openxmlformats.org/drawingml/2006/picture">
                  <wp:extent cx="2706624" cy="1691640"/>
                  <wp:docPr id="4" name="Picture 4"/>
                  <wp:cNvGraphicFramePr>
                    <a:graphicFrameLocks noChangeAspect="1"/>
                  </wp:cNvGraphicFramePr>
                  <a:graphic>
                    <a:graphicData uri="http://schemas.openxmlformats.org/drawingml/2006/picture">
                      <pic:pic>
                        <pic:nvPicPr>
                          <pic:cNvPr id="0" name="SS-04-jira-epic.png"/>
                          <pic:cNvPicPr/>
                        </pic:nvPicPr>
                        <pic:blipFill>
                          <a:blip r:embed="rId12"/>
                          <a:stretch>
                            <a:fillRect/>
                          </a:stretch>
                        </pic:blipFill>
                        <pic:spPr>
                          <a:xfrm>
                            <a:off x="0" y="0"/>
                            <a:ext cx="2706624" cy="1691640"/>
                          </a:xfrm>
                          <a:prstGeom prst="rect"/>
                        </pic:spPr>
                      </pic:pic>
                    </a:graphicData>
                  </a:graphic>
                </wp:inline>
              </w:drawing>
            </w:r>
          </w:p>
        </w:tc>
        <w:tc>
          <w:tcPr>
            <w:tcW w:type="dxa" w:w="4464"/>
          </w:tcPr>
          <w:p>
            <w:pPr>
              <w:spacing w:after="10" w:before="0" w:line="228" w:lineRule="auto"/>
            </w:pPr>
            <w:r>
              <w:rPr>
                <w:b/>
                <w:sz w:val="16"/>
              </w:rPr>
              <w:t xml:space="preserve">Tool: </w:t>
            </w:r>
            <w:r>
              <w:rPr>
                <w:sz w:val="16"/>
              </w:rPr>
              <w:t>Jira Cloud</w:t>
            </w:r>
          </w:p>
          <w:p>
            <w:pPr>
              <w:spacing w:after="10" w:before="0" w:line="228" w:lineRule="auto"/>
            </w:pPr>
            <w:r>
              <w:rPr>
                <w:b/>
                <w:sz w:val="16"/>
              </w:rPr>
              <w:t xml:space="preserve">Where: </w:t>
            </w:r>
            <w:r>
              <w:rPr>
                <w:sz w:val="16"/>
              </w:rPr>
              <w:t xml:space="preserve">Epic detail, e.g. </w:t>
            </w:r>
            <w:r>
              <w:rPr>
                <w:rFonts w:ascii="Consolas" w:hAnsi="Consolas" w:cs="Consolas"/>
                <w:sz w:val="15"/>
              </w:rPr>
              <w:t>/browse/SCRUM-16</w:t>
            </w:r>
            <w:r>
              <w:rPr>
                <w:sz w:val="16"/>
              </w:rPr>
              <w:t xml:space="preserve"> (E3)</w:t>
            </w:r>
          </w:p>
          <w:p>
            <w:pPr>
              <w:spacing w:after="10" w:before="0" w:line="228" w:lineRule="auto"/>
            </w:pPr>
            <w:r>
              <w:rPr>
                <w:b/>
                <w:sz w:val="16"/>
              </w:rPr>
              <w:t xml:space="preserve">Must show: </w:t>
            </w:r>
            <w:r>
              <w:rPr>
                <w:sz w:val="16"/>
              </w:rPr>
              <w:t>The epic's stories and their statuses</w:t>
            </w:r>
          </w:p>
          <w:p>
            <w:pPr>
              <w:spacing w:after="10" w:before="0" w:line="228" w:lineRule="auto"/>
            </w:pPr>
            <w:r>
              <w:rPr>
                <w:b/>
                <w:sz w:val="16"/>
              </w:rPr>
              <w:t xml:space="preserve">Why: </w:t>
            </w:r>
            <w:r>
              <w:rPr>
                <w:sz w:val="16"/>
              </w:rPr>
              <w:t>Shows that an epic is a delivery slice, and its children are the units of Done (§2.2)</w:t>
            </w:r>
          </w:p>
          <w:p>
            <w:pPr>
              <w:spacing w:before="0" w:after="20"/>
            </w:pPr>
            <w:r>
              <w:rPr>
                <w:i/>
                <w:color w:val="666666"/>
                <w:sz w:val="14"/>
              </w:rPr>
              <w:t>The E3 epic with its stock stories</w:t>
            </w:r>
          </w:p>
        </w:tc>
      </w:tr>
    </w:tbl>
    <w:p>
      <w:pPr>
        <w:spacing w:after="40" w:before="0"/>
      </w:pPr>
    </w:p>
    <w:p>
      <w:pPr>
        <w:keepNext/>
        <w:spacing w:before="100" w:after="40"/>
      </w:pPr>
      <w:r>
        <w:rPr>
          <w:b/>
          <w:color w:val="2E5496"/>
          <w:sz w:val="20"/>
        </w:rPr>
        <w:t>§3.5 The sprint</w:t>
      </w:r>
    </w:p>
    <w:p>
      <w:r>
        <w:rPr>
          <w:sz w:val="20"/>
        </w:rPr>
        <w:t>Work was time-boxed into a single sprint. The sprint panel records the name, goal and dates, which is what a burndown is drawn against.</w:t>
      </w:r>
    </w:p>
    <w:p>
      <w:r>
        <w:rPr>
          <w:b/>
          <w:sz w:val="20"/>
        </w:rPr>
        <w:t>SS-5 — The sprint panel.</w:t>
      </w:r>
    </w:p>
    <w:tbl>
      <w:tblPr>
        <w:tblW w:type="auto" w:w="0"/>
        <w:tblLayout w:type="fixed"/>
        <w:tblLook w:firstColumn="1" w:firstRow="1" w:lastColumn="0" w:lastRow="0" w:noHBand="0" w:noVBand="1" w:val="04A0"/>
      </w:tblPr>
      <w:tblGrid>
        <w:gridCol w:w="4968"/>
        <w:gridCol w:w="4968"/>
      </w:tblGrid>
      <w:tr>
        <w:tc>
          <w:tcPr>
            <w:tcW w:type="dxa" w:w="4824"/>
          </w:tcPr>
          <w:p>
            <w:pPr>
              <w:spacing w:before="20" w:after="20"/>
              <w:jc w:val="center"/>
            </w:pPr>
            <w:r>
              <w:drawing>
                <wp:inline xmlns:a="http://schemas.openxmlformats.org/drawingml/2006/main" xmlns:pic="http://schemas.openxmlformats.org/drawingml/2006/picture">
                  <wp:extent cx="2706624" cy="1691640"/>
                  <wp:docPr id="5" name="Picture 5"/>
                  <wp:cNvGraphicFramePr>
                    <a:graphicFrameLocks noChangeAspect="1"/>
                  </wp:cNvGraphicFramePr>
                  <a:graphic>
                    <a:graphicData uri="http://schemas.openxmlformats.org/drawingml/2006/picture">
                      <pic:pic>
                        <pic:nvPicPr>
                          <pic:cNvPr id="0" name="SS-05-jira-sprint.png"/>
                          <pic:cNvPicPr/>
                        </pic:nvPicPr>
                        <pic:blipFill>
                          <a:blip r:embed="rId13"/>
                          <a:stretch>
                            <a:fillRect/>
                          </a:stretch>
                        </pic:blipFill>
                        <pic:spPr>
                          <a:xfrm>
                            <a:off x="0" y="0"/>
                            <a:ext cx="2706624" cy="1691640"/>
                          </a:xfrm>
                          <a:prstGeom prst="rect"/>
                        </pic:spPr>
                      </pic:pic>
                    </a:graphicData>
                  </a:graphic>
                </wp:inline>
              </w:drawing>
            </w:r>
          </w:p>
        </w:tc>
        <w:tc>
          <w:tcPr>
            <w:tcW w:type="dxa" w:w="4464"/>
          </w:tcPr>
          <w:p>
            <w:pPr>
              <w:spacing w:after="10" w:before="0" w:line="228" w:lineRule="auto"/>
            </w:pPr>
            <w:r>
              <w:rPr>
                <w:b/>
                <w:sz w:val="16"/>
              </w:rPr>
              <w:t xml:space="preserve">Tool: </w:t>
            </w:r>
            <w:r>
              <w:rPr>
                <w:sz w:val="16"/>
              </w:rPr>
              <w:t>Jira Cloud</w:t>
            </w:r>
          </w:p>
          <w:p>
            <w:pPr>
              <w:spacing w:after="10" w:before="0" w:line="228" w:lineRule="auto"/>
            </w:pPr>
            <w:r>
              <w:rPr>
                <w:b/>
                <w:sz w:val="16"/>
              </w:rPr>
              <w:t xml:space="preserve">Where: </w:t>
            </w:r>
            <w:r>
              <w:rPr>
                <w:sz w:val="16"/>
              </w:rPr>
              <w:t>Board → Sprint details</w:t>
            </w:r>
          </w:p>
          <w:p>
            <w:pPr>
              <w:spacing w:after="10" w:before="0" w:line="228" w:lineRule="auto"/>
            </w:pPr>
            <w:r>
              <w:rPr>
                <w:b/>
                <w:sz w:val="16"/>
              </w:rPr>
              <w:t xml:space="preserve">Must show: </w:t>
            </w:r>
            <w:r>
              <w:rPr>
                <w:sz w:val="16"/>
              </w:rPr>
              <w:t>Sprint name, goal, start and end dates</w:t>
            </w:r>
          </w:p>
          <w:p>
            <w:pPr>
              <w:spacing w:after="10" w:before="0" w:line="228" w:lineRule="auto"/>
            </w:pPr>
            <w:r>
              <w:rPr>
                <w:b/>
                <w:sz w:val="16"/>
              </w:rPr>
              <w:t xml:space="preserve">Why: </w:t>
            </w:r>
            <w:r>
              <w:rPr>
                <w:sz w:val="16"/>
              </w:rPr>
              <w:t>The time-box is the unit of planning in §2.2</w:t>
            </w:r>
          </w:p>
          <w:p>
            <w:pPr>
              <w:spacing w:before="0" w:after="20"/>
            </w:pPr>
            <w:r>
              <w:rPr>
                <w:i/>
                <w:color w:val="666666"/>
                <w:sz w:val="14"/>
              </w:rPr>
              <w:t>The sprint details panel</w:t>
            </w:r>
          </w:p>
        </w:tc>
      </w:tr>
    </w:tbl>
    <w:p>
      <w:pPr>
        <w:spacing w:after="40" w:before="0"/>
      </w:pPr>
    </w:p>
    <w:p>
      <w:pPr>
        <w:keepNext/>
        <w:spacing w:before="100" w:after="40"/>
      </w:pPr>
      <w:r>
        <w:rPr>
          <w:b/>
          <w:color w:val="2E5496"/>
          <w:sz w:val="20"/>
        </w:rPr>
        <w:t>§3.6 The burndown chart — not captured, and why</w:t>
      </w:r>
    </w:p>
    <w:p>
      <w:r>
        <w:rPr>
          <w:b/>
          <w:sz w:val="20"/>
        </w:rPr>
        <w:t>Placeholder — no image is shown, because none could be captured.</w:t>
      </w:r>
    </w:p>
    <w:tbl>
      <w:tblPr>
        <w:tblStyle w:val="TableGrid"/>
        <w:tblW w:type="auto" w:w="0"/>
        <w:tblLook w:firstColumn="1" w:firstRow="1" w:lastColumn="0" w:lastRow="0" w:noHBand="0" w:noVBand="1" w:val="04A0"/>
      </w:tblPr>
      <w:tblGrid>
        <w:gridCol w:w="4968"/>
        <w:gridCol w:w="4968"/>
      </w:tblGrid>
      <w:tr>
        <w:tc>
          <w:tcPr>
            <w:tcW w:type="dxa" w:w="4968"/>
          </w:tcPr>
          <w:p>
            <w:r>
              <w:rPr>
                <w:b/>
              </w:rPr>
            </w:r>
            <w:r>
              <w:rPr>
                <w:b/>
                <w:sz w:val="18"/>
              </w:rPr>
              <w:t>Tool</w:t>
            </w:r>
          </w:p>
        </w:tc>
        <w:tc>
          <w:tcPr>
            <w:tcW w:type="dxa" w:w="4968"/>
          </w:tcPr>
          <w:p>
            <w:r/>
            <w:r>
              <w:rPr>
                <w:sz w:val="18"/>
              </w:rPr>
              <w:t>Jira Cloud</w:t>
            </w:r>
          </w:p>
        </w:tc>
      </w:tr>
      <w:tr>
        <w:tc>
          <w:tcPr>
            <w:tcW w:type="dxa" w:w="4968"/>
          </w:tcPr>
          <w:p>
            <w:r>
              <w:rPr>
                <w:b/>
              </w:rPr>
            </w:r>
            <w:r>
              <w:rPr>
                <w:b/>
                <w:sz w:val="18"/>
              </w:rPr>
              <w:t>Capture</w:t>
            </w:r>
          </w:p>
        </w:tc>
        <w:tc>
          <w:tcPr>
            <w:tcW w:type="dxa" w:w="4968"/>
          </w:tcPr>
          <w:p>
            <w:r/>
            <w:r>
              <w:rPr>
                <w:sz w:val="18"/>
              </w:rPr>
              <w:t>Board → Reports → Burndown</w:t>
            </w:r>
          </w:p>
        </w:tc>
      </w:tr>
      <w:tr>
        <w:tc>
          <w:tcPr>
            <w:tcW w:type="dxa" w:w="4968"/>
          </w:tcPr>
          <w:p>
            <w:r>
              <w:rPr>
                <w:b/>
              </w:rPr>
            </w:r>
            <w:r>
              <w:rPr>
                <w:b/>
                <w:sz w:val="18"/>
              </w:rPr>
              <w:t>Must show</w:t>
            </w:r>
          </w:p>
        </w:tc>
        <w:tc>
          <w:tcPr>
            <w:tcW w:type="dxa" w:w="4968"/>
          </w:tcPr>
          <w:p>
            <w:r/>
            <w:r>
              <w:rPr>
                <w:sz w:val="18"/>
              </w:rPr>
              <w:t>The remaining-work line falling to zero by the sprint end date</w:t>
            </w:r>
          </w:p>
        </w:tc>
      </w:tr>
      <w:tr>
        <w:tc>
          <w:tcPr>
            <w:tcW w:type="dxa" w:w="4968"/>
          </w:tcPr>
          <w:p>
            <w:r>
              <w:rPr>
                <w:b/>
              </w:rPr>
            </w:r>
            <w:r>
              <w:rPr>
                <w:b/>
                <w:sz w:val="18"/>
              </w:rPr>
              <w:t>Why</w:t>
            </w:r>
          </w:p>
        </w:tc>
        <w:tc>
          <w:tcPr>
            <w:tcW w:type="dxa" w:w="4968"/>
          </w:tcPr>
          <w:p>
            <w:r/>
            <w:r>
              <w:rPr>
                <w:sz w:val="18"/>
              </w:rPr>
              <w:t>It would visualise the sprint completion implied by §3.5</w:t>
            </w:r>
          </w:p>
        </w:tc>
      </w:tr>
      <w:tr>
        <w:tc>
          <w:tcPr>
            <w:tcW w:type="dxa" w:w="4968"/>
          </w:tcPr>
          <w:p>
            <w:r>
              <w:rPr>
                <w:b/>
              </w:rPr>
            </w:r>
            <w:r>
              <w:rPr>
                <w:b/>
                <w:sz w:val="18"/>
              </w:rPr>
              <w:t>Where to capture</w:t>
            </w:r>
          </w:p>
        </w:tc>
        <w:tc>
          <w:tcPr>
            <w:tcW w:type="dxa" w:w="4968"/>
          </w:tcPr>
          <w:p>
            <w:r/>
            <w:r>
              <w:rPr>
                <w:rFonts w:ascii="Consolas" w:hAnsi="Consolas" w:cs="Consolas"/>
                <w:sz w:val="17"/>
              </w:rPr>
              <w:t>https://sarthakpagare005.atlassian.net/jira/software/projects/SCRUM/boards/1</w:t>
            </w:r>
            <w:r>
              <w:rPr>
                <w:sz w:val="18"/>
              </w:rPr>
              <w:t xml:space="preserve"> → </w:t>
            </w:r>
            <w:r>
              <w:rPr>
                <w:i/>
                <w:sz w:val="18"/>
              </w:rPr>
              <w:t>Reports</w:t>
            </w:r>
            <w:r>
              <w:rPr>
                <w:sz w:val="18"/>
              </w:rPr>
              <w:t xml:space="preserve"> → </w:t>
            </w:r>
            <w:r>
              <w:rPr>
                <w:i/>
                <w:sz w:val="18"/>
              </w:rPr>
              <w:t>Burndown</w:t>
            </w:r>
          </w:p>
        </w:tc>
      </w:tr>
    </w:tbl>
    <w:p>
      <w:pPr>
        <w:spacing w:after="20"/>
      </w:pPr>
    </w:p>
    <w:p>
      <w:r>
        <w:rPr>
          <w:sz w:val="20"/>
        </w:rPr>
        <w:t xml:space="preserve">This screenshot could not be captured because the </w:t>
      </w:r>
      <w:r>
        <w:rPr>
          <w:b/>
          <w:sz w:val="20"/>
        </w:rPr>
        <w:t>Jira free plan does not include the Reports / burndown feature</w:t>
      </w:r>
      <w:r>
        <w:rPr>
          <w:sz w:val="20"/>
        </w:rPr>
        <w:t>. Rather than draw a chart that was never produced by the tool, this submission states the gap. The completion it would have shown is, however, directly evidenced: every item in the sprint is in Done (SS-1), and the sprint panel records the time-box (SS-5).</w:t>
      </w:r>
    </w:p>
    <w:p>
      <w:pPr>
        <w:keepNext/>
        <w:spacing w:before="100" w:after="40"/>
      </w:pPr>
      <w:r>
        <w:rPr>
          <w:b/>
          <w:color w:val="2E5496"/>
          <w:sz w:val="20"/>
        </w:rPr>
        <w:t>§3.7 Closing the loop: the audit and the fix commit</w:t>
      </w:r>
    </w:p>
    <w:p>
      <w:r>
        <w:rPr>
          <w:sz w:val="20"/>
        </w:rPr>
        <w:t xml:space="preserve">The last task was an explicit audit. Every open story's acceptance criteria were compared, line by line, against the code. All </w:t>
      </w:r>
      <w:r>
        <w:rPr>
          <w:b/>
          <w:sz w:val="20"/>
        </w:rPr>
        <w:t>16 open stories / 53 acceptance criteria</w:t>
      </w:r>
      <w:r>
        <w:rPr>
          <w:sz w:val="20"/>
        </w:rPr>
        <w:t xml:space="preserve"> were checked. Most were already satisfied; the differences were collected into a single commit, </w:t>
      </w:r>
      <w:r>
        <w:rPr>
          <w:rFonts w:ascii="Consolas" w:hAnsi="Consolas" w:cs="Consolas"/>
          <w:sz w:val="19"/>
        </w:rPr>
        <w:t>deb5d0e</w:t>
      </w:r>
      <w:r>
        <w:rPr>
          <w:sz w:val="20"/>
        </w:rPr>
        <w:t>, so that one commit closes the gap between the board and the code. The stories were then moved to Done.</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rPr>
                <w:b/>
              </w:rPr>
            </w:r>
            <w:r>
              <w:rPr>
                <w:b/>
                <w:sz w:val="18"/>
              </w:rPr>
              <w:t>Story</w:t>
            </w:r>
          </w:p>
        </w:tc>
        <w:tc>
          <w:tcPr>
            <w:tcW w:type="dxa" w:w="2484"/>
          </w:tcPr>
          <w:p>
            <w:r>
              <w:rPr>
                <w:b/>
              </w:rPr>
            </w:r>
            <w:r>
              <w:rPr>
                <w:b/>
                <w:sz w:val="18"/>
              </w:rPr>
              <w:t>Epic</w:t>
            </w:r>
          </w:p>
        </w:tc>
        <w:tc>
          <w:tcPr>
            <w:tcW w:type="dxa" w:w="2484"/>
          </w:tcPr>
          <w:p>
            <w:r>
              <w:rPr>
                <w:b/>
              </w:rPr>
            </w:r>
            <w:r>
              <w:rPr>
                <w:b/>
                <w:sz w:val="18"/>
              </w:rPr>
              <w:t>ACs</w:t>
            </w:r>
          </w:p>
        </w:tc>
        <w:tc>
          <w:tcPr>
            <w:tcW w:type="dxa" w:w="2484"/>
          </w:tcPr>
          <w:p>
            <w:r>
              <w:rPr>
                <w:b/>
              </w:rPr>
            </w:r>
            <w:r>
              <w:rPr>
                <w:b/>
                <w:sz w:val="18"/>
              </w:rPr>
              <w:t>Outcome of the audit</w:t>
            </w:r>
          </w:p>
        </w:tc>
      </w:tr>
      <w:tr>
        <w:tc>
          <w:tcPr>
            <w:tcW w:type="dxa" w:w="2484"/>
          </w:tcPr>
          <w:p>
            <w:r>
              <w:rPr>
                <w:b/>
              </w:rPr>
            </w:r>
            <w:r>
              <w:rPr>
                <w:b/>
                <w:sz w:val="18"/>
              </w:rPr>
              <w:t>SCRUM-31</w:t>
            </w:r>
          </w:p>
        </w:tc>
        <w:tc>
          <w:tcPr>
            <w:tcW w:type="dxa" w:w="2484"/>
          </w:tcPr>
          <w:p>
            <w:r/>
            <w:r>
              <w:rPr>
                <w:sz w:val="18"/>
              </w:rPr>
              <w:t>E3</w:t>
            </w:r>
          </w:p>
        </w:tc>
        <w:tc>
          <w:tcPr>
            <w:tcW w:type="dxa" w:w="2484"/>
          </w:tcPr>
          <w:p>
            <w:r/>
            <w:r>
              <w:rPr>
                <w:sz w:val="18"/>
              </w:rPr>
              <w:t>3</w:t>
            </w:r>
          </w:p>
        </w:tc>
        <w:tc>
          <w:tcPr>
            <w:tcW w:type="dxa" w:w="2484"/>
          </w:tcPr>
          <w:p>
            <w:r/>
            <w:r>
              <w:rPr>
                <w:sz w:val="18"/>
              </w:rPr>
              <w:t>Already met — movements and audit on every adjustment</w:t>
            </w:r>
          </w:p>
        </w:tc>
      </w:tr>
      <w:tr>
        <w:tc>
          <w:tcPr>
            <w:tcW w:type="dxa" w:w="2484"/>
          </w:tcPr>
          <w:p>
            <w:r>
              <w:rPr>
                <w:b/>
              </w:rPr>
            </w:r>
            <w:r>
              <w:rPr>
                <w:b/>
                <w:sz w:val="18"/>
              </w:rPr>
              <w:t>SCRUM-32</w:t>
            </w:r>
          </w:p>
        </w:tc>
        <w:tc>
          <w:tcPr>
            <w:tcW w:type="dxa" w:w="2484"/>
          </w:tcPr>
          <w:p>
            <w:r/>
            <w:r>
              <w:rPr>
                <w:sz w:val="18"/>
              </w:rPr>
              <w:t>E3</w:t>
            </w:r>
          </w:p>
        </w:tc>
        <w:tc>
          <w:tcPr>
            <w:tcW w:type="dxa" w:w="2484"/>
          </w:tcPr>
          <w:p>
            <w:r/>
            <w:r>
              <w:rPr>
                <w:sz w:val="18"/>
              </w:rPr>
              <w:t>3</w:t>
            </w:r>
          </w:p>
        </w:tc>
        <w:tc>
          <w:tcPr>
            <w:tcW w:type="dxa" w:w="2484"/>
          </w:tcPr>
          <w:p>
            <w:r/>
            <w:r>
              <w:rPr>
                <w:sz w:val="18"/>
              </w:rPr>
              <w:t xml:space="preserve">Already met — </w:t>
            </w:r>
            <w:r>
              <w:rPr>
                <w:rFonts w:ascii="Consolas" w:hAnsi="Consolas" w:cs="Consolas"/>
                <w:sz w:val="17"/>
              </w:rPr>
              <w:t>on_hand − reserved</w:t>
            </w:r>
            <w:r>
              <w:rPr>
                <w:sz w:val="18"/>
              </w:rPr>
              <w:t xml:space="preserve"> compared to the reorder point</w:t>
            </w:r>
          </w:p>
        </w:tc>
      </w:tr>
      <w:tr>
        <w:tc>
          <w:tcPr>
            <w:tcW w:type="dxa" w:w="2484"/>
          </w:tcPr>
          <w:p>
            <w:r>
              <w:rPr>
                <w:b/>
              </w:rPr>
            </w:r>
            <w:r>
              <w:rPr>
                <w:b/>
                <w:sz w:val="18"/>
              </w:rPr>
              <w:t>SCRUM-33</w:t>
            </w:r>
          </w:p>
        </w:tc>
        <w:tc>
          <w:tcPr>
            <w:tcW w:type="dxa" w:w="2484"/>
          </w:tcPr>
          <w:p>
            <w:r/>
            <w:r>
              <w:rPr>
                <w:sz w:val="18"/>
              </w:rPr>
              <w:t>E4</w:t>
            </w:r>
          </w:p>
        </w:tc>
        <w:tc>
          <w:tcPr>
            <w:tcW w:type="dxa" w:w="2484"/>
          </w:tcPr>
          <w:p>
            <w:r/>
            <w:r>
              <w:rPr>
                <w:sz w:val="18"/>
              </w:rPr>
              <w:t>3</w:t>
            </w:r>
          </w:p>
        </w:tc>
        <w:tc>
          <w:tcPr>
            <w:tcW w:type="dxa" w:w="2484"/>
          </w:tcPr>
          <w:p>
            <w:r/>
            <w:r>
              <w:rPr>
                <w:sz w:val="18"/>
              </w:rPr>
              <w:t>Already met — 409 with SKU and available quantity</w:t>
            </w:r>
          </w:p>
        </w:tc>
      </w:tr>
      <w:tr>
        <w:tc>
          <w:tcPr>
            <w:tcW w:type="dxa" w:w="2484"/>
          </w:tcPr>
          <w:p>
            <w:r>
              <w:rPr>
                <w:b/>
              </w:rPr>
            </w:r>
            <w:r>
              <w:rPr>
                <w:b/>
                <w:sz w:val="18"/>
              </w:rPr>
              <w:t>SCRUM-34</w:t>
            </w:r>
          </w:p>
        </w:tc>
        <w:tc>
          <w:tcPr>
            <w:tcW w:type="dxa" w:w="2484"/>
          </w:tcPr>
          <w:p>
            <w:r/>
            <w:r>
              <w:rPr>
                <w:sz w:val="18"/>
              </w:rPr>
              <w:t>E4</w:t>
            </w:r>
          </w:p>
        </w:tc>
        <w:tc>
          <w:tcPr>
            <w:tcW w:type="dxa" w:w="2484"/>
          </w:tcPr>
          <w:p>
            <w:r/>
            <w:r>
              <w:rPr>
                <w:sz w:val="18"/>
              </w:rPr>
              <w:t>3</w:t>
            </w:r>
          </w:p>
        </w:tc>
        <w:tc>
          <w:tcPr>
            <w:tcW w:type="dxa" w:w="2484"/>
          </w:tcPr>
          <w:p>
            <w:r/>
            <w:r>
              <w:rPr>
                <w:sz w:val="18"/>
              </w:rPr>
              <w:t>Already met — integer paise, 18% GST, free shipping at ₹500</w:t>
            </w:r>
          </w:p>
        </w:tc>
      </w:tr>
      <w:tr>
        <w:tc>
          <w:tcPr>
            <w:tcW w:type="dxa" w:w="2484"/>
          </w:tcPr>
          <w:p>
            <w:r>
              <w:rPr>
                <w:b/>
              </w:rPr>
            </w:r>
            <w:r>
              <w:rPr>
                <w:b/>
                <w:sz w:val="18"/>
              </w:rPr>
              <w:t>SCRUM-35</w:t>
            </w:r>
          </w:p>
        </w:tc>
        <w:tc>
          <w:tcPr>
            <w:tcW w:type="dxa" w:w="2484"/>
          </w:tcPr>
          <w:p>
            <w:r/>
            <w:r>
              <w:rPr>
                <w:sz w:val="18"/>
              </w:rPr>
              <w:t>E4</w:t>
            </w:r>
          </w:p>
        </w:tc>
        <w:tc>
          <w:tcPr>
            <w:tcW w:type="dxa" w:w="2484"/>
          </w:tcPr>
          <w:p>
            <w:r/>
            <w:r>
              <w:rPr>
                <w:sz w:val="18"/>
              </w:rPr>
              <w:t>3</w:t>
            </w:r>
          </w:p>
        </w:tc>
        <w:tc>
          <w:tcPr>
            <w:tcW w:type="dxa" w:w="2484"/>
          </w:tcPr>
          <w:p>
            <w:r/>
            <w:r>
              <w:rPr>
                <w:sz w:val="18"/>
              </w:rPr>
              <w:t>Already met — reservation and order created in one transaction</w:t>
            </w:r>
          </w:p>
        </w:tc>
      </w:tr>
      <w:tr>
        <w:tc>
          <w:tcPr>
            <w:tcW w:type="dxa" w:w="2484"/>
          </w:tcPr>
          <w:p>
            <w:r>
              <w:rPr>
                <w:b/>
              </w:rPr>
            </w:r>
            <w:r>
              <w:rPr>
                <w:b/>
                <w:sz w:val="18"/>
              </w:rPr>
              <w:t>SCRUM-36</w:t>
            </w:r>
          </w:p>
        </w:tc>
        <w:tc>
          <w:tcPr>
            <w:tcW w:type="dxa" w:w="2484"/>
          </w:tcPr>
          <w:p>
            <w:r/>
            <w:r>
              <w:rPr>
                <w:sz w:val="18"/>
              </w:rPr>
              <w:t>E4</w:t>
            </w:r>
          </w:p>
        </w:tc>
        <w:tc>
          <w:tcPr>
            <w:tcW w:type="dxa" w:w="2484"/>
          </w:tcPr>
          <w:p>
            <w:r/>
            <w:r>
              <w:rPr>
                <w:sz w:val="18"/>
              </w:rPr>
              <w:t>4</w:t>
            </w:r>
          </w:p>
        </w:tc>
        <w:tc>
          <w:tcPr>
            <w:tcW w:type="dxa" w:w="2484"/>
          </w:tcPr>
          <w:p>
            <w:r/>
            <w:r>
              <w:rPr>
                <w:b/>
                <w:sz w:val="18"/>
              </w:rPr>
              <w:t>Changed</w:t>
            </w:r>
            <w:r>
              <w:rPr>
                <w:sz w:val="18"/>
              </w:rPr>
              <w:t xml:space="preserve"> — status </w:t>
            </w:r>
            <w:r>
              <w:rPr>
                <w:rFonts w:ascii="Consolas" w:hAnsi="Consolas" w:cs="Consolas"/>
                <w:sz w:val="17"/>
              </w:rPr>
              <w:t>placed</w:t>
            </w:r>
            <w:r>
              <w:rPr>
                <w:sz w:val="18"/>
              </w:rPr>
              <w:t xml:space="preserve"> renamed </w:t>
            </w:r>
            <w:r>
              <w:rPr>
                <w:rFonts w:ascii="Consolas" w:hAnsi="Consolas" w:cs="Consolas"/>
                <w:sz w:val="17"/>
              </w:rPr>
              <w:t>created</w:t>
            </w:r>
            <w:r>
              <w:rPr>
                <w:sz w:val="18"/>
              </w:rPr>
              <w:t xml:space="preserve">; </w:t>
            </w:r>
            <w:r>
              <w:rPr>
                <w:rFonts w:ascii="Consolas" w:hAnsi="Consolas" w:cs="Consolas"/>
                <w:sz w:val="17"/>
              </w:rPr>
              <w:t>422</w:t>
            </w:r>
            <w:r>
              <w:rPr>
                <w:sz w:val="18"/>
              </w:rPr>
              <w:t xml:space="preserve"> now reports </w:t>
            </w:r>
            <w:r>
              <w:rPr>
                <w:rFonts w:ascii="Consolas" w:hAnsi="Consolas" w:cs="Consolas"/>
                <w:sz w:val="17"/>
              </w:rPr>
              <w:t>allowed</w:t>
            </w:r>
            <w:r>
              <w:rPr>
                <w:sz w:val="18"/>
              </w:rPr>
              <w:t>; shipped is terminal</w:t>
            </w:r>
          </w:p>
        </w:tc>
      </w:tr>
      <w:tr>
        <w:tc>
          <w:tcPr>
            <w:tcW w:type="dxa" w:w="2484"/>
          </w:tcPr>
          <w:p>
            <w:r>
              <w:rPr>
                <w:b/>
              </w:rPr>
            </w:r>
            <w:r>
              <w:rPr>
                <w:b/>
                <w:sz w:val="18"/>
              </w:rPr>
              <w:t>SCRUM-37</w:t>
            </w:r>
          </w:p>
        </w:tc>
        <w:tc>
          <w:tcPr>
            <w:tcW w:type="dxa" w:w="2484"/>
          </w:tcPr>
          <w:p>
            <w:r/>
            <w:r>
              <w:rPr>
                <w:sz w:val="18"/>
              </w:rPr>
              <w:t>E4</w:t>
            </w:r>
          </w:p>
        </w:tc>
        <w:tc>
          <w:tcPr>
            <w:tcW w:type="dxa" w:w="2484"/>
          </w:tcPr>
          <w:p>
            <w:r/>
            <w:r>
              <w:rPr>
                <w:sz w:val="18"/>
              </w:rPr>
              <w:t>3</w:t>
            </w:r>
          </w:p>
        </w:tc>
        <w:tc>
          <w:tcPr>
            <w:tcW w:type="dxa" w:w="2484"/>
          </w:tcPr>
          <w:p>
            <w:r/>
            <w:r>
              <w:rPr>
                <w:sz w:val="18"/>
              </w:rPr>
              <w:t>Already met — cancel releases stock; paid cancel refunds in the same call</w:t>
            </w:r>
          </w:p>
        </w:tc>
      </w:tr>
      <w:tr>
        <w:tc>
          <w:tcPr>
            <w:tcW w:type="dxa" w:w="2484"/>
          </w:tcPr>
          <w:p>
            <w:r>
              <w:rPr>
                <w:b/>
              </w:rPr>
            </w:r>
            <w:r>
              <w:rPr>
                <w:b/>
                <w:sz w:val="18"/>
              </w:rPr>
              <w:t>SCRUM-38</w:t>
            </w:r>
          </w:p>
        </w:tc>
        <w:tc>
          <w:tcPr>
            <w:tcW w:type="dxa" w:w="2484"/>
          </w:tcPr>
          <w:p>
            <w:r/>
            <w:r>
              <w:rPr>
                <w:sz w:val="18"/>
              </w:rPr>
              <w:t>E5</w:t>
            </w:r>
          </w:p>
        </w:tc>
        <w:tc>
          <w:tcPr>
            <w:tcW w:type="dxa" w:w="2484"/>
          </w:tcPr>
          <w:p>
            <w:r/>
            <w:r>
              <w:rPr>
                <w:sz w:val="18"/>
              </w:rPr>
              <w:t>3</w:t>
            </w:r>
          </w:p>
        </w:tc>
        <w:tc>
          <w:tcPr>
            <w:tcW w:type="dxa" w:w="2484"/>
          </w:tcPr>
          <w:p>
            <w:r/>
            <w:r>
              <w:rPr>
                <w:b/>
                <w:sz w:val="18"/>
              </w:rPr>
              <w:t>Changed</w:t>
            </w:r>
            <w:r>
              <w:rPr>
                <w:sz w:val="18"/>
              </w:rPr>
              <w:t xml:space="preserve"> — a missing/short </w:t>
            </w:r>
            <w:r>
              <w:rPr>
                <w:rFonts w:ascii="Consolas" w:hAnsi="Consolas" w:cs="Consolas"/>
                <w:sz w:val="17"/>
              </w:rPr>
              <w:t>idempotency_key</w:t>
            </w:r>
            <w:r>
              <w:rPr>
                <w:sz w:val="18"/>
              </w:rPr>
              <w:t xml:space="preserve"> is now </w:t>
            </w:r>
            <w:r>
              <w:rPr>
                <w:rFonts w:ascii="Consolas" w:hAnsi="Consolas" w:cs="Consolas"/>
                <w:sz w:val="17"/>
              </w:rPr>
              <w:t>422</w:t>
            </w:r>
            <w:r>
              <w:rPr>
                <w:sz w:val="18"/>
              </w:rPr>
              <w:t xml:space="preserve">, not </w:t>
            </w:r>
            <w:r>
              <w:rPr>
                <w:rFonts w:ascii="Consolas" w:hAnsi="Consolas" w:cs="Consolas"/>
                <w:sz w:val="17"/>
              </w:rPr>
              <w:t>400</w:t>
            </w:r>
          </w:p>
        </w:tc>
      </w:tr>
      <w:tr>
        <w:tc>
          <w:tcPr>
            <w:tcW w:type="dxa" w:w="2484"/>
          </w:tcPr>
          <w:p>
            <w:r>
              <w:rPr>
                <w:b/>
              </w:rPr>
            </w:r>
            <w:r>
              <w:rPr>
                <w:b/>
                <w:sz w:val="18"/>
              </w:rPr>
              <w:t>SCRUM-39</w:t>
            </w:r>
          </w:p>
        </w:tc>
        <w:tc>
          <w:tcPr>
            <w:tcW w:type="dxa" w:w="2484"/>
          </w:tcPr>
          <w:p>
            <w:r/>
            <w:r>
              <w:rPr>
                <w:sz w:val="18"/>
              </w:rPr>
              <w:t>E5</w:t>
            </w:r>
          </w:p>
        </w:tc>
        <w:tc>
          <w:tcPr>
            <w:tcW w:type="dxa" w:w="2484"/>
          </w:tcPr>
          <w:p>
            <w:r/>
            <w:r>
              <w:rPr>
                <w:sz w:val="18"/>
              </w:rPr>
              <w:t>3</w:t>
            </w:r>
          </w:p>
        </w:tc>
        <w:tc>
          <w:tcPr>
            <w:tcW w:type="dxa" w:w="2484"/>
          </w:tcPr>
          <w:p>
            <w:r/>
            <w:r>
              <w:rPr>
                <w:b/>
                <w:sz w:val="18"/>
              </w:rPr>
              <w:t>Changed</w:t>
            </w:r>
            <w:r>
              <w:rPr>
                <w:sz w:val="18"/>
              </w:rPr>
              <w:t xml:space="preserve"> — a declined card writes </w:t>
            </w:r>
            <w:r>
              <w:rPr>
                <w:b/>
                <w:sz w:val="18"/>
              </w:rPr>
              <w:t>no</w:t>
            </w:r>
            <w:r>
              <w:rPr>
                <w:sz w:val="18"/>
              </w:rPr>
              <w:t xml:space="preserve"> payments row; the failure is audited</w:t>
            </w:r>
          </w:p>
        </w:tc>
      </w:tr>
      <w:tr>
        <w:tc>
          <w:tcPr>
            <w:tcW w:type="dxa" w:w="2484"/>
          </w:tcPr>
          <w:p>
            <w:r>
              <w:rPr>
                <w:b/>
              </w:rPr>
            </w:r>
            <w:r>
              <w:rPr>
                <w:b/>
                <w:sz w:val="18"/>
              </w:rPr>
              <w:t>SCRUM-40</w:t>
            </w:r>
          </w:p>
        </w:tc>
        <w:tc>
          <w:tcPr>
            <w:tcW w:type="dxa" w:w="2484"/>
          </w:tcPr>
          <w:p>
            <w:r/>
            <w:r>
              <w:rPr>
                <w:sz w:val="18"/>
              </w:rPr>
              <w:t>E5</w:t>
            </w:r>
          </w:p>
        </w:tc>
        <w:tc>
          <w:tcPr>
            <w:tcW w:type="dxa" w:w="2484"/>
          </w:tcPr>
          <w:p>
            <w:r/>
            <w:r>
              <w:rPr>
                <w:sz w:val="18"/>
              </w:rPr>
              <w:t>3</w:t>
            </w:r>
          </w:p>
        </w:tc>
        <w:tc>
          <w:tcPr>
            <w:tcW w:type="dxa" w:w="2484"/>
          </w:tcPr>
          <w:p>
            <w:r/>
            <w:r>
              <w:rPr>
                <w:b/>
                <w:sz w:val="18"/>
              </w:rPr>
              <w:t>Changed</w:t>
            </w:r>
            <w:r>
              <w:rPr>
                <w:sz w:val="18"/>
              </w:rPr>
              <w:t xml:space="preserve"> — failed attempts are counted from the audit ledger, not a phantom row</w:t>
            </w:r>
          </w:p>
        </w:tc>
      </w:tr>
      <w:tr>
        <w:tc>
          <w:tcPr>
            <w:tcW w:type="dxa" w:w="2484"/>
          </w:tcPr>
          <w:p>
            <w:r>
              <w:rPr>
                <w:b/>
              </w:rPr>
            </w:r>
            <w:r>
              <w:rPr>
                <w:b/>
                <w:sz w:val="18"/>
              </w:rPr>
              <w:t>SCRUM-41</w:t>
            </w:r>
          </w:p>
        </w:tc>
        <w:tc>
          <w:tcPr>
            <w:tcW w:type="dxa" w:w="2484"/>
          </w:tcPr>
          <w:p>
            <w:r/>
            <w:r>
              <w:rPr>
                <w:sz w:val="18"/>
              </w:rPr>
              <w:t>E5</w:t>
            </w:r>
          </w:p>
        </w:tc>
        <w:tc>
          <w:tcPr>
            <w:tcW w:type="dxa" w:w="2484"/>
          </w:tcPr>
          <w:p>
            <w:r/>
            <w:r>
              <w:rPr>
                <w:sz w:val="18"/>
              </w:rPr>
              <w:t>5</w:t>
            </w:r>
          </w:p>
        </w:tc>
        <w:tc>
          <w:tcPr>
            <w:tcW w:type="dxa" w:w="2484"/>
          </w:tcPr>
          <w:p>
            <w:r/>
            <w:r>
              <w:rPr>
                <w:b/>
                <w:sz w:val="18"/>
              </w:rPr>
              <w:t>Changed</w:t>
            </w:r>
            <w:r>
              <w:rPr>
                <w:sz w:val="18"/>
              </w:rPr>
              <w:t xml:space="preserve"> — added the </w:t>
            </w:r>
            <w:r>
              <w:rPr>
                <w:rFonts w:ascii="Consolas" w:hAnsi="Consolas" w:cs="Consolas"/>
                <w:sz w:val="17"/>
              </w:rPr>
              <w:t>in_transit</w:t>
            </w:r>
            <w:r>
              <w:rPr>
                <w:sz w:val="18"/>
              </w:rPr>
              <w:t xml:space="preserve"> step to the closed return sequence</w:t>
            </w:r>
          </w:p>
        </w:tc>
      </w:tr>
      <w:tr>
        <w:tc>
          <w:tcPr>
            <w:tcW w:type="dxa" w:w="2484"/>
          </w:tcPr>
          <w:p>
            <w:r>
              <w:rPr>
                <w:b/>
              </w:rPr>
            </w:r>
            <w:r>
              <w:rPr>
                <w:b/>
                <w:sz w:val="18"/>
              </w:rPr>
              <w:t>SCRUM-42</w:t>
            </w:r>
          </w:p>
        </w:tc>
        <w:tc>
          <w:tcPr>
            <w:tcW w:type="dxa" w:w="2484"/>
          </w:tcPr>
          <w:p>
            <w:r/>
            <w:r>
              <w:rPr>
                <w:sz w:val="18"/>
              </w:rPr>
              <w:t>E6</w:t>
            </w:r>
          </w:p>
        </w:tc>
        <w:tc>
          <w:tcPr>
            <w:tcW w:type="dxa" w:w="2484"/>
          </w:tcPr>
          <w:p>
            <w:r/>
            <w:r>
              <w:rPr>
                <w:sz w:val="18"/>
              </w:rPr>
              <w:t>3</w:t>
            </w:r>
          </w:p>
        </w:tc>
        <w:tc>
          <w:tcPr>
            <w:tcW w:type="dxa" w:w="2484"/>
          </w:tcPr>
          <w:p>
            <w:r/>
            <w:r>
              <w:rPr>
                <w:b/>
                <w:sz w:val="18"/>
              </w:rPr>
              <w:t>Changed</w:t>
            </w:r>
            <w:r>
              <w:rPr>
                <w:sz w:val="18"/>
              </w:rPr>
              <w:t xml:space="preserve"> — added </w:t>
            </w:r>
            <w:r>
              <w:rPr>
                <w:rFonts w:ascii="Consolas" w:hAnsi="Consolas" w:cs="Consolas"/>
                <w:sz w:val="17"/>
              </w:rPr>
              <w:t>GET /fulfilment/dispatch-queue</w:t>
            </w:r>
            <w:r>
              <w:rPr>
                <w:sz w:val="18"/>
              </w:rPr>
              <w:t xml:space="preserve"> (paid + picking, FIFO)</w:t>
            </w:r>
          </w:p>
        </w:tc>
      </w:tr>
      <w:tr>
        <w:tc>
          <w:tcPr>
            <w:tcW w:type="dxa" w:w="2484"/>
          </w:tcPr>
          <w:p>
            <w:r>
              <w:rPr>
                <w:b/>
              </w:rPr>
            </w:r>
            <w:r>
              <w:rPr>
                <w:b/>
                <w:sz w:val="18"/>
              </w:rPr>
              <w:t>SCRUM-43</w:t>
            </w:r>
          </w:p>
        </w:tc>
        <w:tc>
          <w:tcPr>
            <w:tcW w:type="dxa" w:w="2484"/>
          </w:tcPr>
          <w:p>
            <w:r/>
            <w:r>
              <w:rPr>
                <w:sz w:val="18"/>
              </w:rPr>
              <w:t>E6</w:t>
            </w:r>
          </w:p>
        </w:tc>
        <w:tc>
          <w:tcPr>
            <w:tcW w:type="dxa" w:w="2484"/>
          </w:tcPr>
          <w:p>
            <w:r/>
            <w:r>
              <w:rPr>
                <w:sz w:val="18"/>
              </w:rPr>
              <w:t>3</w:t>
            </w:r>
          </w:p>
        </w:tc>
        <w:tc>
          <w:tcPr>
            <w:tcW w:type="dxa" w:w="2484"/>
          </w:tcPr>
          <w:p>
            <w:r/>
            <w:r>
              <w:rPr>
                <w:b/>
                <w:sz w:val="18"/>
              </w:rPr>
              <w:t>Changed</w:t>
            </w:r>
            <w:r>
              <w:rPr>
                <w:sz w:val="18"/>
              </w:rPr>
              <w:t xml:space="preserve"> — the re-dispatch </w:t>
            </w:r>
            <w:r>
              <w:rPr>
                <w:rFonts w:ascii="Consolas" w:hAnsi="Consolas" w:cs="Consolas"/>
                <w:sz w:val="17"/>
              </w:rPr>
              <w:t>409</w:t>
            </w:r>
            <w:r>
              <w:rPr>
                <w:sz w:val="18"/>
              </w:rPr>
              <w:t xml:space="preserve"> now carries the shipment reference</w:t>
            </w:r>
          </w:p>
        </w:tc>
      </w:tr>
      <w:tr>
        <w:tc>
          <w:tcPr>
            <w:tcW w:type="dxa" w:w="2484"/>
          </w:tcPr>
          <w:p>
            <w:r>
              <w:rPr>
                <w:b/>
              </w:rPr>
            </w:r>
            <w:r>
              <w:rPr>
                <w:b/>
                <w:sz w:val="18"/>
              </w:rPr>
              <w:t>SCRUM-44</w:t>
            </w:r>
          </w:p>
        </w:tc>
        <w:tc>
          <w:tcPr>
            <w:tcW w:type="dxa" w:w="2484"/>
          </w:tcPr>
          <w:p>
            <w:r/>
            <w:r>
              <w:rPr>
                <w:sz w:val="18"/>
              </w:rPr>
              <w:t>E6</w:t>
            </w:r>
          </w:p>
        </w:tc>
        <w:tc>
          <w:tcPr>
            <w:tcW w:type="dxa" w:w="2484"/>
          </w:tcPr>
          <w:p>
            <w:r/>
            <w:r>
              <w:rPr>
                <w:sz w:val="18"/>
              </w:rPr>
              <w:t>3</w:t>
            </w:r>
          </w:p>
        </w:tc>
        <w:tc>
          <w:tcPr>
            <w:tcW w:type="dxa" w:w="2484"/>
          </w:tcPr>
          <w:p>
            <w:r/>
            <w:r>
              <w:rPr>
                <w:sz w:val="18"/>
              </w:rPr>
              <w:t>Already met — append-only tracking events with a closed sequence</w:t>
            </w:r>
          </w:p>
        </w:tc>
      </w:tr>
      <w:tr>
        <w:tc>
          <w:tcPr>
            <w:tcW w:type="dxa" w:w="2484"/>
          </w:tcPr>
          <w:p>
            <w:r>
              <w:rPr>
                <w:b/>
              </w:rPr>
            </w:r>
            <w:r>
              <w:rPr>
                <w:b/>
                <w:sz w:val="18"/>
              </w:rPr>
              <w:t>SCRUM-45</w:t>
            </w:r>
          </w:p>
        </w:tc>
        <w:tc>
          <w:tcPr>
            <w:tcW w:type="dxa" w:w="2484"/>
          </w:tcPr>
          <w:p>
            <w:r/>
            <w:r>
              <w:rPr>
                <w:sz w:val="18"/>
              </w:rPr>
              <w:t>E7</w:t>
            </w:r>
          </w:p>
        </w:tc>
        <w:tc>
          <w:tcPr>
            <w:tcW w:type="dxa" w:w="2484"/>
          </w:tcPr>
          <w:p>
            <w:r/>
            <w:r>
              <w:rPr>
                <w:sz w:val="18"/>
              </w:rPr>
              <w:t>5</w:t>
            </w:r>
          </w:p>
        </w:tc>
        <w:tc>
          <w:tcPr>
            <w:tcW w:type="dxa" w:w="2484"/>
          </w:tcPr>
          <w:p>
            <w:r/>
            <w:r>
              <w:rPr>
                <w:sz w:val="18"/>
              </w:rPr>
              <w:t>Already met — the API chooses the dashboard per role</w:t>
            </w:r>
          </w:p>
        </w:tc>
      </w:tr>
      <w:tr>
        <w:tc>
          <w:tcPr>
            <w:tcW w:type="dxa" w:w="2484"/>
          </w:tcPr>
          <w:p>
            <w:r>
              <w:rPr>
                <w:b/>
              </w:rPr>
            </w:r>
            <w:r>
              <w:rPr>
                <w:b/>
                <w:sz w:val="18"/>
              </w:rPr>
              <w:t>SCRUM-46</w:t>
            </w:r>
          </w:p>
        </w:tc>
        <w:tc>
          <w:tcPr>
            <w:tcW w:type="dxa" w:w="2484"/>
          </w:tcPr>
          <w:p>
            <w:r/>
            <w:r>
              <w:rPr>
                <w:sz w:val="18"/>
              </w:rPr>
              <w:t>E7</w:t>
            </w:r>
          </w:p>
        </w:tc>
        <w:tc>
          <w:tcPr>
            <w:tcW w:type="dxa" w:w="2484"/>
          </w:tcPr>
          <w:p>
            <w:r/>
            <w:r>
              <w:rPr>
                <w:sz w:val="18"/>
              </w:rPr>
              <w:t>3</w:t>
            </w:r>
          </w:p>
        </w:tc>
        <w:tc>
          <w:tcPr>
            <w:tcW w:type="dxa" w:w="2484"/>
          </w:tcPr>
          <w:p>
            <w:r/>
            <w:r>
              <w:rPr>
                <w:sz w:val="18"/>
              </w:rPr>
              <w:t>Already met — append-only audit ledger, admin-only</w:t>
            </w:r>
          </w:p>
        </w:tc>
      </w:tr>
    </w:tbl>
    <w:p>
      <w:pPr>
        <w:spacing w:after="20"/>
      </w:pPr>
    </w:p>
    <w:p>
      <w:r>
        <w:rPr>
          <w:sz w:val="20"/>
        </w:rPr>
        <w:t>The two changes that touched a state machine are worth quoting, because they are where the theory of §2.7 becomes code:</w:t>
      </w:r>
    </w:p>
    <w:p>
      <w:pPr>
        <w:spacing w:before="60" w:after="80" w:line="228" w:lineRule="auto"/>
        <w:ind w:left="144"/>
        <w:shd w:val="clear" w:color="auto" w:fill="F4F4F4"/>
      </w:pPr>
      <w:r>
        <w:rPr>
          <w:rFonts w:ascii="Consolas" w:hAnsi="Consolas" w:cs="Consolas"/>
          <w:sz w:val="16"/>
        </w:rPr>
        <w:t>// app/src/routes/orders.js</w:t>
        <w:br/>
        <w:t>export const ORDER_FLOW = {</w:t>
        <w:br/>
        <w:t xml:space="preserve">  created:   ['paid', 'cancelled'],</w:t>
        <w:br/>
        <w:t xml:space="preserve">  paid:      ['picking', 'cancelled'],</w:t>
        <w:br/>
        <w:t xml:space="preserve">  picking:   ['packed', 'cancelled'],</w:t>
        <w:br/>
        <w:t xml:space="preserve">  packed:    ['shipped'],</w:t>
        <w:br/>
        <w:t xml:space="preserve">  shipped:   ['delivered'],</w:t>
        <w:br/>
        <w:t xml:space="preserve">  delivered: [],</w:t>
        <w:br/>
        <w:t xml:space="preserve">  cancelled: [],</w:t>
        <w:br/>
        <w:t>};</w:t>
        <w:br/>
        <w:br/>
        <w:t>// The status endpoint may not perform the transitions that move stock or money.</w:t>
        <w:br/>
        <w:t>export const WORKFLOW_FLOW = {</w:t>
        <w:br/>
        <w:t xml:space="preserve">  created:   [],</w:t>
        <w:br/>
        <w:t xml:space="preserve">  paid:      ['picking'],</w:t>
        <w:br/>
        <w:t xml:space="preserve">  picking:   ['packed'],</w:t>
        <w:br/>
        <w:t xml:space="preserve">  packed:    [],</w:t>
        <w:br/>
        <w:t xml:space="preserve">  shipped:   [],</w:t>
        <w:br/>
        <w:t xml:space="preserve">  delivered: [],</w:t>
        <w:br/>
        <w:t xml:space="preserve">  cancelled: [],</w:t>
        <w:br/>
        <w:t>};</w:t>
      </w:r>
    </w:p>
    <w:p>
      <w:pPr>
        <w:spacing w:before="60" w:after="80" w:line="228" w:lineRule="auto"/>
        <w:ind w:left="144"/>
        <w:shd w:val="clear" w:color="auto" w:fill="F4F4F4"/>
      </w:pPr>
      <w:r>
        <w:rPr>
          <w:rFonts w:ascii="Consolas" w:hAnsi="Consolas" w:cs="Consolas"/>
          <w:sz w:val="16"/>
        </w:rPr>
        <w:t>// app/src/routes/payments.js</w:t>
        <w:br/>
        <w:t>export const RETURN_FLOW = {</w:t>
        <w:br/>
        <w:t xml:space="preserve">  requested:  ['approved', 'rejected'],</w:t>
        <w:br/>
        <w:t xml:space="preserve">  approved:   ['in_transit'],</w:t>
        <w:br/>
        <w:t xml:space="preserve">  in_transit: ['received'],</w:t>
        <w:br/>
        <w:t xml:space="preserve">  received:   ['refunded'],</w:t>
        <w:br/>
        <w:t xml:space="preserve">  refunded:   [],</w:t>
        <w:br/>
        <w:t xml:space="preserve">  rejected:   [],</w:t>
        <w:br/>
        <w:t>};</w:t>
      </w:r>
    </w:p>
    <w:p>
      <w:pPr>
        <w:spacing w:before="80" w:after="80"/>
        <w:pBdr>
          <w:bottom w:val="single" w:sz="6" w:space="1" w:color="BBBBBB"/>
        </w:pBdr>
      </w:pPr>
    </w:p>
    <w:p>
      <w:pPr>
        <w:keepNext/>
        <w:spacing w:before="140" w:after="40"/>
      </w:pPr>
      <w:r>
        <w:rPr>
          <w:b/>
          <w:color w:val="2E5496"/>
          <w:sz w:val="22"/>
        </w:rPr>
        <w:t>4. GitHub — the code and the pipeline</w:t>
      </w:r>
    </w:p>
    <w:p>
      <w:pPr>
        <w:keepNext/>
        <w:spacing w:before="100" w:after="40"/>
      </w:pPr>
      <w:r>
        <w:rPr>
          <w:b/>
          <w:color w:val="2E5496"/>
          <w:sz w:val="20"/>
        </w:rPr>
        <w:t>§4.1 The repository</w:t>
      </w:r>
    </w:p>
    <w:p>
      <w:r>
        <w:rPr>
          <w:sz w:val="20"/>
        </w:rPr>
        <w:t>The repository is public and its README states the shape of the system up front: 18 tables, 51 endpoints, the two-tool toolchain, and the explicit note that CI never publishes an image.</w:t>
      </w:r>
    </w:p>
    <w:p>
      <w:r>
        <w:rPr>
          <w:b/>
          <w:sz w:val="20"/>
        </w:rPr>
        <w:t>SS-6 — The repository.</w:t>
      </w:r>
    </w:p>
    <w:tbl>
      <w:tblPr>
        <w:tblW w:type="auto" w:w="0"/>
        <w:tblLayout w:type="fixed"/>
        <w:tblLook w:firstColumn="1" w:firstRow="1" w:lastColumn="0" w:lastRow="0" w:noHBand="0" w:noVBand="1" w:val="04A0"/>
      </w:tblPr>
      <w:tblGrid>
        <w:gridCol w:w="4968"/>
        <w:gridCol w:w="4968"/>
      </w:tblGrid>
      <w:tr>
        <w:tc>
          <w:tcPr>
            <w:tcW w:type="dxa" w:w="4824"/>
          </w:tcPr>
          <w:p>
            <w:pPr>
              <w:spacing w:before="20" w:after="20"/>
              <w:jc w:val="center"/>
            </w:pPr>
            <w:r>
              <w:drawing>
                <wp:inline xmlns:a="http://schemas.openxmlformats.org/drawingml/2006/main" xmlns:pic="http://schemas.openxmlformats.org/drawingml/2006/picture">
                  <wp:extent cx="2706624" cy="1691640"/>
                  <wp:docPr id="6" name="Picture 6"/>
                  <wp:cNvGraphicFramePr>
                    <a:graphicFrameLocks noChangeAspect="1"/>
                  </wp:cNvGraphicFramePr>
                  <a:graphic>
                    <a:graphicData uri="http://schemas.openxmlformats.org/drawingml/2006/picture">
                      <pic:pic>
                        <pic:nvPicPr>
                          <pic:cNvPr id="0" name="SS-06-github-repo.png"/>
                          <pic:cNvPicPr/>
                        </pic:nvPicPr>
                        <pic:blipFill>
                          <a:blip r:embed="rId14"/>
                          <a:stretch>
                            <a:fillRect/>
                          </a:stretch>
                        </pic:blipFill>
                        <pic:spPr>
                          <a:xfrm>
                            <a:off x="0" y="0"/>
                            <a:ext cx="2706624" cy="1691640"/>
                          </a:xfrm>
                          <a:prstGeom prst="rect"/>
                        </pic:spPr>
                      </pic:pic>
                    </a:graphicData>
                  </a:graphic>
                </wp:inline>
              </w:drawing>
            </w:r>
          </w:p>
        </w:tc>
        <w:tc>
          <w:tcPr>
            <w:tcW w:type="dxa" w:w="4464"/>
          </w:tcPr>
          <w:p>
            <w:pPr>
              <w:spacing w:after="10" w:before="0" w:line="228" w:lineRule="auto"/>
            </w:pPr>
            <w:r>
              <w:rPr>
                <w:b/>
                <w:sz w:val="16"/>
              </w:rPr>
              <w:t xml:space="preserve">Tool: </w:t>
            </w:r>
            <w:r>
              <w:rPr>
                <w:sz w:val="16"/>
              </w:rPr>
              <w:t>GitHub</w:t>
            </w:r>
          </w:p>
          <w:p>
            <w:pPr>
              <w:spacing w:after="10" w:before="0" w:line="228" w:lineRule="auto"/>
            </w:pPr>
            <w:r>
              <w:rPr>
                <w:b/>
                <w:sz w:val="16"/>
              </w:rPr>
              <w:t xml:space="preserve">Where: </w:t>
            </w:r>
            <w:r>
              <w:rPr>
                <w:rFonts w:ascii="Consolas" w:hAnsi="Consolas" w:cs="Consolas"/>
                <w:sz w:val="15"/>
              </w:rPr>
              <w:t>https://github.com/nglfrsarthak/shop-hub</w:t>
            </w:r>
          </w:p>
          <w:p>
            <w:pPr>
              <w:spacing w:after="10" w:before="0" w:line="228" w:lineRule="auto"/>
            </w:pPr>
            <w:r>
              <w:rPr>
                <w:b/>
                <w:sz w:val="16"/>
              </w:rPr>
              <w:t xml:space="preserve">Must show: </w:t>
            </w:r>
            <w:r>
              <w:rPr>
                <w:sz w:val="16"/>
              </w:rPr>
              <w:t>The rendered README, the file tree and the commit count</w:t>
            </w:r>
          </w:p>
          <w:p>
            <w:pPr>
              <w:spacing w:after="10" w:before="0" w:line="228" w:lineRule="auto"/>
            </w:pPr>
            <w:r>
              <w:rPr>
                <w:b/>
                <w:sz w:val="16"/>
              </w:rPr>
              <w:t xml:space="preserve">Why: </w:t>
            </w:r>
            <w:r>
              <w:rPr>
                <w:sz w:val="16"/>
              </w:rPr>
              <w:t>The single source of "what is true" from §2.1</w:t>
            </w:r>
          </w:p>
          <w:p>
            <w:pPr>
              <w:spacing w:before="0" w:after="20"/>
            </w:pPr>
            <w:r>
              <w:rPr>
                <w:i/>
                <w:color w:val="666666"/>
                <w:sz w:val="14"/>
              </w:rPr>
              <w:t>The repository with its README rendered</w:t>
            </w:r>
          </w:p>
        </w:tc>
      </w:tr>
    </w:tbl>
    <w:p>
      <w:pPr>
        <w:spacing w:after="40" w:before="0"/>
      </w:pPr>
    </w:p>
    <w:p>
      <w:pPr>
        <w:keepNext/>
        <w:spacing w:before="100" w:after="40"/>
      </w:pPr>
      <w:r>
        <w:rPr>
          <w:b/>
          <w:color w:val="2E5496"/>
          <w:sz w:val="20"/>
        </w:rPr>
        <w:t>§4.2 The commit history</w:t>
      </w:r>
    </w:p>
    <w:p>
      <w:r>
        <w:rPr>
          <w:sz w:val="20"/>
        </w:rPr>
        <w:t xml:space="preserve">History is deliberately legible: one epic or one fix per commit, with a message that says </w:t>
      </w:r>
      <w:r>
        <w:rPr>
          <w:i/>
          <w:sz w:val="20"/>
        </w:rPr>
        <w:t>why</w:t>
      </w:r>
      <w:r>
        <w:rPr>
          <w:sz w:val="20"/>
        </w:rPr>
        <w:t>. The history reads as the build order of the schema and then one epic per commit, ending with the audit fix.</w:t>
      </w:r>
    </w:p>
    <w:p>
      <w:r>
        <w:rPr>
          <w:b/>
          <w:sz w:val="20"/>
        </w:rPr>
        <w:t>SS-7 — The commit history.</w:t>
      </w:r>
    </w:p>
    <w:tbl>
      <w:tblPr>
        <w:tblW w:type="auto" w:w="0"/>
        <w:tblLayout w:type="fixed"/>
        <w:tblLook w:firstColumn="1" w:firstRow="1" w:lastColumn="0" w:lastRow="0" w:noHBand="0" w:noVBand="1" w:val="04A0"/>
      </w:tblPr>
      <w:tblGrid>
        <w:gridCol w:w="4968"/>
        <w:gridCol w:w="4968"/>
      </w:tblGrid>
      <w:tr>
        <w:tc>
          <w:tcPr>
            <w:tcW w:type="dxa" w:w="4824"/>
          </w:tcPr>
          <w:p>
            <w:pPr>
              <w:spacing w:before="20" w:after="20"/>
              <w:jc w:val="center"/>
            </w:pPr>
            <w:r>
              <w:drawing>
                <wp:inline xmlns:a="http://schemas.openxmlformats.org/drawingml/2006/main" xmlns:pic="http://schemas.openxmlformats.org/drawingml/2006/picture">
                  <wp:extent cx="2706624" cy="1691640"/>
                  <wp:docPr id="7" name="Picture 7"/>
                  <wp:cNvGraphicFramePr>
                    <a:graphicFrameLocks noChangeAspect="1"/>
                  </wp:cNvGraphicFramePr>
                  <a:graphic>
                    <a:graphicData uri="http://schemas.openxmlformats.org/drawingml/2006/picture">
                      <pic:pic>
                        <pic:nvPicPr>
                          <pic:cNvPr id="0" name="SS-07-github-history.png"/>
                          <pic:cNvPicPr/>
                        </pic:nvPicPr>
                        <pic:blipFill>
                          <a:blip r:embed="rId15"/>
                          <a:stretch>
                            <a:fillRect/>
                          </a:stretch>
                        </pic:blipFill>
                        <pic:spPr>
                          <a:xfrm>
                            <a:off x="0" y="0"/>
                            <a:ext cx="2706624" cy="1691640"/>
                          </a:xfrm>
                          <a:prstGeom prst="rect"/>
                        </pic:spPr>
                      </pic:pic>
                    </a:graphicData>
                  </a:graphic>
                </wp:inline>
              </w:drawing>
            </w:r>
          </w:p>
        </w:tc>
        <w:tc>
          <w:tcPr>
            <w:tcW w:type="dxa" w:w="4464"/>
          </w:tcPr>
          <w:p>
            <w:pPr>
              <w:spacing w:after="10" w:before="0" w:line="228" w:lineRule="auto"/>
            </w:pPr>
            <w:r>
              <w:rPr>
                <w:b/>
                <w:sz w:val="16"/>
              </w:rPr>
              <w:t xml:space="preserve">Tool: </w:t>
            </w:r>
            <w:r>
              <w:rPr>
                <w:sz w:val="16"/>
              </w:rPr>
              <w:t>GitHub</w:t>
            </w:r>
          </w:p>
          <w:p>
            <w:pPr>
              <w:spacing w:after="10" w:before="0" w:line="228" w:lineRule="auto"/>
            </w:pPr>
            <w:r>
              <w:rPr>
                <w:b/>
                <w:sz w:val="16"/>
              </w:rPr>
              <w:t xml:space="preserve">Where: </w:t>
            </w:r>
            <w:r>
              <w:rPr>
                <w:rFonts w:ascii="Consolas" w:hAnsi="Consolas" w:cs="Consolas"/>
                <w:sz w:val="15"/>
              </w:rPr>
              <w:t>/commits/main</w:t>
            </w:r>
          </w:p>
          <w:p>
            <w:pPr>
              <w:spacing w:after="10" w:before="0" w:line="228" w:lineRule="auto"/>
            </w:pPr>
            <w:r>
              <w:rPr>
                <w:b/>
                <w:sz w:val="16"/>
              </w:rPr>
              <w:t xml:space="preserve">Must show: </w:t>
            </w:r>
            <w:r>
              <w:rPr>
                <w:sz w:val="16"/>
              </w:rPr>
              <w:t>A commit list where each entry maps to one epic or one fix</w:t>
            </w:r>
          </w:p>
          <w:p>
            <w:pPr>
              <w:spacing w:after="10" w:before="0" w:line="228" w:lineRule="auto"/>
            </w:pPr>
            <w:r>
              <w:rPr>
                <w:b/>
                <w:sz w:val="16"/>
              </w:rPr>
              <w:t xml:space="preserve">Why: </w:t>
            </w:r>
            <w:r>
              <w:rPr>
                <w:sz w:val="16"/>
              </w:rPr>
              <w:t>Reviewable history is the "how" side of the §2.1 split</w:t>
            </w:r>
          </w:p>
          <w:p>
            <w:pPr>
              <w:spacing w:before="0" w:after="20"/>
            </w:pPr>
            <w:r>
              <w:rPr>
                <w:i/>
                <w:color w:val="666666"/>
                <w:sz w:val="14"/>
              </w:rPr>
              <w:t>The commit history, one epic or fix per commit</w:t>
            </w:r>
          </w:p>
        </w:tc>
      </w:tr>
    </w:tbl>
    <w:p>
      <w:pPr>
        <w:spacing w:after="40" w:before="0"/>
      </w:pPr>
    </w:p>
    <w:p>
      <w:pPr>
        <w:keepNext/>
        <w:spacing w:before="100" w:after="40"/>
      </w:pPr>
      <w:r>
        <w:rPr>
          <w:b/>
          <w:color w:val="2E5496"/>
          <w:sz w:val="20"/>
        </w:rPr>
        <w:t>§4.3 The no-oversell commit</w:t>
      </w:r>
    </w:p>
    <w:p>
      <w:r>
        <w:rPr>
          <w:sz w:val="20"/>
        </w:rPr>
        <w:t xml:space="preserve">The no-oversell rule is the clearest single example of an invariant enforced in SQL rather than in application logic. The conditional </w:t>
      </w:r>
      <w:r>
        <w:rPr>
          <w:rFonts w:ascii="Consolas" w:hAnsi="Consolas" w:cs="Consolas"/>
          <w:sz w:val="19"/>
        </w:rPr>
        <w:t>UPDATE</w:t>
      </w:r>
      <w:r>
        <w:rPr>
          <w:sz w:val="20"/>
        </w:rPr>
        <w:t xml:space="preserve"> makes the check and the write the same atomic statement, so two concurrent shoppers can never both win the last unit.</w:t>
      </w:r>
    </w:p>
    <w:p>
      <w:pPr>
        <w:spacing w:before="60" w:after="80" w:line="228" w:lineRule="auto"/>
        <w:ind w:left="144"/>
        <w:shd w:val="clear" w:color="auto" w:fill="F4F4F4"/>
      </w:pPr>
      <w:r>
        <w:rPr>
          <w:rFonts w:ascii="Consolas" w:hAnsi="Consolas" w:cs="Consolas"/>
          <w:sz w:val="16"/>
        </w:rPr>
        <w:t>// app/src/routes/inventory.js</w:t>
        <w:br/>
        <w:t>export function reserveStock(variantId, qty) {</w:t>
        <w:br/>
        <w:t xml:space="preserve">  const info = db.prepare(`</w:t>
        <w:br/>
        <w:t xml:space="preserve">    UPDATE stock_levels SET reserved = reserved + ?</w:t>
        <w:br/>
        <w:t xml:space="preserve">     WHERE variant_id = ? AND (on_hand - reserved) &gt;= ?</w:t>
        <w:br/>
        <w:t xml:space="preserve">  `).run(qty, variantId, qty);</w:t>
        <w:br/>
        <w:t xml:space="preserve">  return info.changes &gt; 0;</w:t>
        <w:br/>
        <w:t>}</w:t>
      </w:r>
    </w:p>
    <w:p>
      <w:r>
        <w:rPr>
          <w:b/>
          <w:sz w:val="20"/>
        </w:rPr>
        <w:t>SS-8 — The commit that adds the no-oversell rule.</w:t>
      </w:r>
    </w:p>
    <w:tbl>
      <w:tblPr>
        <w:tblW w:type="auto" w:w="0"/>
        <w:tblLayout w:type="fixed"/>
        <w:tblLook w:firstColumn="1" w:firstRow="1" w:lastColumn="0" w:lastRow="0" w:noHBand="0" w:noVBand="1" w:val="04A0"/>
      </w:tblPr>
      <w:tblGrid>
        <w:gridCol w:w="4968"/>
        <w:gridCol w:w="4968"/>
      </w:tblGrid>
      <w:tr>
        <w:tc>
          <w:tcPr>
            <w:tcW w:type="dxa" w:w="4824"/>
          </w:tcPr>
          <w:p>
            <w:pPr>
              <w:spacing w:before="20" w:after="20"/>
              <w:jc w:val="center"/>
            </w:pPr>
            <w:r>
              <w:drawing>
                <wp:inline xmlns:a="http://schemas.openxmlformats.org/drawingml/2006/main" xmlns:pic="http://schemas.openxmlformats.org/drawingml/2006/picture">
                  <wp:extent cx="2706624" cy="1691640"/>
                  <wp:docPr id="8" name="Picture 8"/>
                  <wp:cNvGraphicFramePr>
                    <a:graphicFrameLocks noChangeAspect="1"/>
                  </wp:cNvGraphicFramePr>
                  <a:graphic>
                    <a:graphicData uri="http://schemas.openxmlformats.org/drawingml/2006/picture">
                      <pic:pic>
                        <pic:nvPicPr>
                          <pic:cNvPr id="0" name="SS-08-github-diff-oversell.png"/>
                          <pic:cNvPicPr/>
                        </pic:nvPicPr>
                        <pic:blipFill>
                          <a:blip r:embed="rId16"/>
                          <a:stretch>
                            <a:fillRect/>
                          </a:stretch>
                        </pic:blipFill>
                        <pic:spPr>
                          <a:xfrm>
                            <a:off x="0" y="0"/>
                            <a:ext cx="2706624" cy="1691640"/>
                          </a:xfrm>
                          <a:prstGeom prst="rect"/>
                        </pic:spPr>
                      </pic:pic>
                    </a:graphicData>
                  </a:graphic>
                </wp:inline>
              </w:drawing>
            </w:r>
          </w:p>
        </w:tc>
        <w:tc>
          <w:tcPr>
            <w:tcW w:type="dxa" w:w="4464"/>
          </w:tcPr>
          <w:p>
            <w:pPr>
              <w:spacing w:after="10" w:before="0" w:line="228" w:lineRule="auto"/>
            </w:pPr>
            <w:r>
              <w:rPr>
                <w:b/>
                <w:sz w:val="16"/>
              </w:rPr>
              <w:t xml:space="preserve">Tool: </w:t>
            </w:r>
            <w:r>
              <w:rPr>
                <w:sz w:val="16"/>
              </w:rPr>
              <w:t>GitHub</w:t>
            </w:r>
          </w:p>
          <w:p>
            <w:pPr>
              <w:spacing w:after="10" w:before="0" w:line="228" w:lineRule="auto"/>
            </w:pPr>
            <w:r>
              <w:rPr>
                <w:b/>
                <w:sz w:val="16"/>
              </w:rPr>
              <w:t xml:space="preserve">Where: </w:t>
            </w:r>
            <w:r>
              <w:rPr>
                <w:sz w:val="16"/>
              </w:rPr>
              <w:t xml:space="preserve">Commit </w:t>
            </w:r>
            <w:r>
              <w:rPr>
                <w:rFonts w:ascii="Consolas" w:hAnsi="Consolas" w:cs="Consolas"/>
                <w:sz w:val="15"/>
              </w:rPr>
              <w:t>45c3d7b</w:t>
            </w:r>
            <w:r>
              <w:rPr>
                <w:sz w:val="16"/>
              </w:rPr>
              <w:t xml:space="preserve"> — </w:t>
            </w:r>
            <w:r>
              <w:rPr>
                <w:i/>
                <w:sz w:val="16"/>
              </w:rPr>
              <w:t>feat(E3): stock levels, movements and the no-oversell rule</w:t>
            </w:r>
          </w:p>
          <w:p>
            <w:pPr>
              <w:spacing w:after="10" w:before="0" w:line="228" w:lineRule="auto"/>
            </w:pPr>
            <w:r>
              <w:rPr>
                <w:b/>
                <w:sz w:val="16"/>
              </w:rPr>
              <w:t xml:space="preserve">Must show: </w:t>
            </w:r>
            <w:r>
              <w:rPr>
                <w:sz w:val="16"/>
              </w:rPr>
              <w:t xml:space="preserve">The diff, including the conditional </w:t>
            </w:r>
            <w:r>
              <w:rPr>
                <w:rFonts w:ascii="Consolas" w:hAnsi="Consolas" w:cs="Consolas"/>
                <w:sz w:val="15"/>
              </w:rPr>
              <w:t>UPDATE</w:t>
            </w:r>
            <w:r>
              <w:rPr>
                <w:sz w:val="16"/>
              </w:rPr>
              <w:t xml:space="preserve"> above</w:t>
            </w:r>
          </w:p>
          <w:p>
            <w:pPr>
              <w:spacing w:after="10" w:before="0" w:line="228" w:lineRule="auto"/>
            </w:pPr>
            <w:r>
              <w:rPr>
                <w:b/>
                <w:sz w:val="16"/>
              </w:rPr>
              <w:t xml:space="preserve">Why: </w:t>
            </w:r>
            <w:r>
              <w:rPr>
                <w:sz w:val="16"/>
              </w:rPr>
              <w:t>The invariant from §2.5, enforced where the race is</w:t>
            </w:r>
          </w:p>
          <w:p>
            <w:pPr>
              <w:spacing w:before="0" w:after="20"/>
            </w:pPr>
            <w:r>
              <w:rPr>
                <w:i/>
                <w:color w:val="666666"/>
                <w:sz w:val="14"/>
              </w:rPr>
              <w:t>The no-oversell commit and its diff</w:t>
            </w:r>
          </w:p>
        </w:tc>
      </w:tr>
    </w:tbl>
    <w:p>
      <w:pPr>
        <w:spacing w:after="40" w:before="0"/>
      </w:pPr>
    </w:p>
    <w:p>
      <w:pPr>
        <w:keepNext/>
        <w:spacing w:before="100" w:after="40"/>
      </w:pPr>
      <w:r>
        <w:rPr>
          <w:b/>
          <w:color w:val="2E5496"/>
          <w:sz w:val="20"/>
        </w:rPr>
        <w:t>§4.4 The source on GitHub</w:t>
      </w:r>
    </w:p>
    <w:p>
      <w:r>
        <w:rPr>
          <w:b/>
          <w:sz w:val="20"/>
        </w:rPr>
        <w:t>SS-9 — The inventory source on GitHub.</w:t>
      </w:r>
    </w:p>
    <w:tbl>
      <w:tblPr>
        <w:tblW w:type="auto" w:w="0"/>
        <w:tblLayout w:type="fixed"/>
        <w:tblLook w:firstColumn="1" w:firstRow="1" w:lastColumn="0" w:lastRow="0" w:noHBand="0" w:noVBand="1" w:val="04A0"/>
      </w:tblPr>
      <w:tblGrid>
        <w:gridCol w:w="4968"/>
        <w:gridCol w:w="4968"/>
      </w:tblGrid>
      <w:tr>
        <w:tc>
          <w:tcPr>
            <w:tcW w:type="dxa" w:w="4824"/>
          </w:tcPr>
          <w:p>
            <w:pPr>
              <w:spacing w:before="20" w:after="20"/>
              <w:jc w:val="center"/>
            </w:pPr>
            <w:r>
              <w:drawing>
                <wp:inline xmlns:a="http://schemas.openxmlformats.org/drawingml/2006/main" xmlns:pic="http://schemas.openxmlformats.org/drawingml/2006/picture">
                  <wp:extent cx="2706624" cy="1691640"/>
                  <wp:docPr id="9" name="Picture 9"/>
                  <wp:cNvGraphicFramePr>
                    <a:graphicFrameLocks noChangeAspect="1"/>
                  </wp:cNvGraphicFramePr>
                  <a:graphic>
                    <a:graphicData uri="http://schemas.openxmlformats.org/drawingml/2006/picture">
                      <pic:pic>
                        <pic:nvPicPr>
                          <pic:cNvPr id="0" name="SS-09-github-source.png"/>
                          <pic:cNvPicPr/>
                        </pic:nvPicPr>
                        <pic:blipFill>
                          <a:blip r:embed="rId17"/>
                          <a:stretch>
                            <a:fillRect/>
                          </a:stretch>
                        </pic:blipFill>
                        <pic:spPr>
                          <a:xfrm>
                            <a:off x="0" y="0"/>
                            <a:ext cx="2706624" cy="1691640"/>
                          </a:xfrm>
                          <a:prstGeom prst="rect"/>
                        </pic:spPr>
                      </pic:pic>
                    </a:graphicData>
                  </a:graphic>
                </wp:inline>
              </w:drawing>
            </w:r>
          </w:p>
        </w:tc>
        <w:tc>
          <w:tcPr>
            <w:tcW w:type="dxa" w:w="4464"/>
          </w:tcPr>
          <w:p>
            <w:pPr>
              <w:spacing w:after="10" w:before="0" w:line="228" w:lineRule="auto"/>
            </w:pPr>
            <w:r>
              <w:rPr>
                <w:b/>
                <w:sz w:val="16"/>
              </w:rPr>
              <w:t xml:space="preserve">Tool: </w:t>
            </w:r>
            <w:r>
              <w:rPr>
                <w:sz w:val="16"/>
              </w:rPr>
              <w:t>GitHub</w:t>
            </w:r>
          </w:p>
          <w:p>
            <w:pPr>
              <w:spacing w:after="10" w:before="0" w:line="228" w:lineRule="auto"/>
            </w:pPr>
            <w:r>
              <w:rPr>
                <w:b/>
                <w:sz w:val="16"/>
              </w:rPr>
              <w:t xml:space="preserve">Where: </w:t>
            </w:r>
            <w:r>
              <w:rPr>
                <w:rFonts w:ascii="Consolas" w:hAnsi="Consolas" w:cs="Consolas"/>
                <w:sz w:val="15"/>
              </w:rPr>
              <w:t>app/src/routes/inventory.js</w:t>
            </w:r>
            <w:r>
              <w:rPr>
                <w:sz w:val="16"/>
              </w:rPr>
              <w:t xml:space="preserve"> on </w:t>
            </w:r>
            <w:r>
              <w:rPr>
                <w:rFonts w:ascii="Consolas" w:hAnsi="Consolas" w:cs="Consolas"/>
                <w:sz w:val="15"/>
              </w:rPr>
              <w:t>main</w:t>
            </w:r>
          </w:p>
          <w:p>
            <w:pPr>
              <w:spacing w:after="10" w:before="0" w:line="228" w:lineRule="auto"/>
            </w:pPr>
            <w:r>
              <w:rPr>
                <w:b/>
                <w:sz w:val="16"/>
              </w:rPr>
              <w:t xml:space="preserve">Must show: </w:t>
            </w:r>
            <w:r>
              <w:rPr>
                <w:rFonts w:ascii="Consolas" w:hAnsi="Consolas" w:cs="Consolas"/>
                <w:sz w:val="15"/>
              </w:rPr>
              <w:t>reserveStock</w:t>
            </w:r>
            <w:r>
              <w:rPr>
                <w:sz w:val="16"/>
              </w:rPr>
              <w:t xml:space="preserve">, </w:t>
            </w:r>
            <w:r>
              <w:rPr>
                <w:rFonts w:ascii="Consolas" w:hAnsi="Consolas" w:cs="Consolas"/>
                <w:sz w:val="15"/>
              </w:rPr>
              <w:t>releaseStock</w:t>
            </w:r>
            <w:r>
              <w:rPr>
                <w:sz w:val="16"/>
              </w:rPr>
              <w:t xml:space="preserve"> and </w:t>
            </w:r>
            <w:r>
              <w:rPr>
                <w:rFonts w:ascii="Consolas" w:hAnsi="Consolas" w:cs="Consolas"/>
                <w:sz w:val="15"/>
              </w:rPr>
              <w:t>commitStock</w:t>
            </w:r>
            <w:r>
              <w:rPr>
                <w:sz w:val="16"/>
              </w:rPr>
              <w:t xml:space="preserve"> in the published source</w:t>
            </w:r>
          </w:p>
          <w:p>
            <w:pPr>
              <w:spacing w:after="10" w:before="0" w:line="228" w:lineRule="auto"/>
            </w:pPr>
            <w:r>
              <w:rPr>
                <w:b/>
                <w:sz w:val="16"/>
              </w:rPr>
              <w:t xml:space="preserve">Why: </w:t>
            </w:r>
            <w:r>
              <w:rPr>
                <w:sz w:val="16"/>
              </w:rPr>
              <w:t>The published code and the local evidence agree — the point of §2.4</w:t>
            </w:r>
          </w:p>
          <w:p>
            <w:pPr>
              <w:spacing w:before="0" w:after="20"/>
            </w:pPr>
            <w:r>
              <w:rPr>
                <w:i/>
                <w:color w:val="666666"/>
                <w:sz w:val="14"/>
              </w:rPr>
              <w:t>inventory.js on GitHub</w:t>
            </w:r>
          </w:p>
        </w:tc>
      </w:tr>
    </w:tbl>
    <w:p>
      <w:pPr>
        <w:spacing w:after="40" w:before="0"/>
      </w:pPr>
    </w:p>
    <w:p>
      <w:pPr>
        <w:keepNext/>
        <w:spacing w:before="100" w:after="40"/>
      </w:pPr>
      <w:r>
        <w:rPr>
          <w:b/>
          <w:color w:val="2E5496"/>
          <w:sz w:val="20"/>
        </w:rPr>
        <w:t>§4.5 The workflow as code</w:t>
      </w:r>
    </w:p>
    <w:p>
      <w:r>
        <w:rPr>
          <w:sz w:val="20"/>
        </w:rPr>
        <w:t xml:space="preserve">CI is a single workflow, </w:t>
      </w:r>
      <w:r>
        <w:rPr>
          <w:rFonts w:ascii="Consolas" w:hAnsi="Consolas" w:cs="Consolas"/>
          <w:sz w:val="19"/>
        </w:rPr>
        <w:t>.github/workflows/ci.yml</w:t>
      </w:r>
      <w:r>
        <w:rPr>
          <w:sz w:val="20"/>
        </w:rPr>
        <w:t>, triggered on every push and pull request. It has three jobs, each with one reason to fail, so a red cross always says what broke:</w:t>
      </w:r>
    </w:p>
    <w:p>
      <w:pPr>
        <w:pStyle w:val="ListBullet"/>
        <w:spacing w:after="20" w:line="228" w:lineRule="auto"/>
      </w:pPr>
      <w:r>
        <w:rPr>
          <w:b/>
          <w:sz w:val="20"/>
        </w:rPr>
        <w:t>Tests</w:t>
      </w:r>
      <w:r>
        <w:rPr>
          <w:sz w:val="20"/>
        </w:rPr>
        <w:t xml:space="preserve"> — install, run </w:t>
      </w:r>
      <w:r>
        <w:rPr>
          <w:rFonts w:ascii="Consolas" w:hAnsi="Consolas" w:cs="Consolas"/>
          <w:sz w:val="19"/>
        </w:rPr>
        <w:t>npm test</w:t>
      </w:r>
      <w:r>
        <w:rPr>
          <w:sz w:val="20"/>
        </w:rPr>
        <w:t>, then start a real server and run the smoke test against it.</w:t>
      </w:r>
    </w:p>
    <w:p>
      <w:pPr>
        <w:pStyle w:val="ListBullet"/>
        <w:spacing w:after="20" w:line="228" w:lineRule="auto"/>
      </w:pPr>
      <w:r>
        <w:rPr>
          <w:b/>
          <w:sz w:val="20"/>
        </w:rPr>
        <w:t>Lint</w:t>
      </w:r>
      <w:r>
        <w:rPr>
          <w:sz w:val="20"/>
        </w:rPr>
        <w:t xml:space="preserve"> — parse every source file; fail if a signing key is hard-coded in application source; and assert the production guard, that production </w:t>
      </w:r>
      <w:r>
        <w:rPr>
          <w:i/>
          <w:sz w:val="20"/>
        </w:rPr>
        <w:t>refuses</w:t>
      </w:r>
      <w:r>
        <w:rPr>
          <w:sz w:val="20"/>
        </w:rPr>
        <w:t xml:space="preserve"> to start without an explicit </w:t>
      </w:r>
      <w:r>
        <w:rPr>
          <w:rFonts w:ascii="Consolas" w:hAnsi="Consolas" w:cs="Consolas"/>
          <w:sz w:val="19"/>
        </w:rPr>
        <w:t>JWT_SECRET</w:t>
      </w:r>
      <w:r>
        <w:rPr>
          <w:sz w:val="20"/>
        </w:rPr>
        <w:t xml:space="preserve">, </w:t>
      </w:r>
      <w:r>
        <w:rPr>
          <w:i/>
          <w:sz w:val="20"/>
        </w:rPr>
        <w:t>loads</w:t>
      </w:r>
      <w:r>
        <w:rPr>
          <w:sz w:val="20"/>
        </w:rPr>
        <w:t xml:space="preserve"> when given one, and that a fresh clone still runs in development.</w:t>
      </w:r>
    </w:p>
    <w:p>
      <w:pPr>
        <w:pStyle w:val="ListBullet"/>
        <w:spacing w:after="20" w:line="228" w:lineRule="auto"/>
      </w:pPr>
      <w:r>
        <w:rPr>
          <w:b/>
          <w:sz w:val="20"/>
        </w:rPr>
        <w:t>API contract</w:t>
      </w:r>
      <w:r>
        <w:rPr>
          <w:sz w:val="20"/>
        </w:rPr>
        <w:t xml:space="preserve"> — start the API and assert its self-description from </w:t>
      </w:r>
      <w:r>
        <w:rPr>
          <w:rFonts w:ascii="Consolas" w:hAnsi="Consolas" w:cs="Consolas"/>
          <w:sz w:val="19"/>
        </w:rPr>
        <w:t>GET /api/v1/meta</w:t>
      </w:r>
      <w:r>
        <w:rPr>
          <w:sz w:val="20"/>
        </w:rPr>
        <w:t>.</w:t>
      </w:r>
    </w:p>
    <w:p>
      <w:r>
        <w:rPr>
          <w:sz w:val="20"/>
        </w:rPr>
        <w:t>There is no deploy job. That is the "never CD" rule of §2.3, enforced by the workflow's shape.</w:t>
      </w:r>
    </w:p>
    <w:p>
      <w:pPr>
        <w:spacing w:before="80" w:after="80"/>
        <w:pBdr>
          <w:bottom w:val="single" w:sz="6" w:space="1" w:color="BBBBBB"/>
        </w:pBdr>
      </w:pPr>
    </w:p>
    <w:p>
      <w:pPr>
        <w:keepNext/>
        <w:spacing w:before="140" w:after="40"/>
      </w:pPr>
      <w:r>
        <w:rPr>
          <w:b/>
          <w:color w:val="2E5496"/>
          <w:sz w:val="22"/>
        </w:rPr>
        <w:t>5. Running files — the console</w:t>
      </w:r>
    </w:p>
    <w:p>
      <w:r>
        <w:rPr>
          <w:sz w:val="20"/>
        </w:rPr>
        <w:t>The browser console is a vanilla-JS client served from the API's own origin. It does no business logic: it renders what the API sends, and it maps the API's error codes to clear messages. The screenshots below were captured by the capture script signing in through the real sign-in form and clicking through the real screens.</w:t>
      </w:r>
    </w:p>
    <w:p>
      <w:pPr>
        <w:keepNext/>
        <w:spacing w:before="100" w:after="40"/>
      </w:pPr>
      <w:r>
        <w:rPr>
          <w:b/>
          <w:color w:val="2E5496"/>
          <w:sz w:val="20"/>
        </w:rPr>
        <w:t>§5.1 The sign-in gate</w:t>
      </w:r>
    </w:p>
    <w:p>
      <w:r>
        <w:rPr>
          <w:b/>
          <w:sz w:val="20"/>
        </w:rPr>
        <w:t>SS-10 — Sign-in gate.</w:t>
      </w:r>
    </w:p>
    <w:tbl>
      <w:tblPr>
        <w:tblW w:type="auto" w:w="0"/>
        <w:tblLayout w:type="fixed"/>
        <w:tblLook w:firstColumn="1" w:firstRow="1" w:lastColumn="0" w:lastRow="0" w:noHBand="0" w:noVBand="1" w:val="04A0"/>
      </w:tblPr>
      <w:tblGrid>
        <w:gridCol w:w="4968"/>
        <w:gridCol w:w="4968"/>
      </w:tblGrid>
      <w:tr>
        <w:tc>
          <w:tcPr>
            <w:tcW w:type="dxa" w:w="4824"/>
          </w:tcPr>
          <w:p>
            <w:pPr>
              <w:spacing w:before="20" w:after="20"/>
              <w:jc w:val="center"/>
            </w:pPr>
            <w:r>
              <w:drawing>
                <wp:inline xmlns:a="http://schemas.openxmlformats.org/drawingml/2006/main" xmlns:pic="http://schemas.openxmlformats.org/drawingml/2006/picture">
                  <wp:extent cx="2706624" cy="1691640"/>
                  <wp:docPr id="10" name="Picture 10"/>
                  <wp:cNvGraphicFramePr>
                    <a:graphicFrameLocks noChangeAspect="1"/>
                  </wp:cNvGraphicFramePr>
                  <a:graphic>
                    <a:graphicData uri="http://schemas.openxmlformats.org/drawingml/2006/picture">
                      <pic:pic>
                        <pic:nvPicPr>
                          <pic:cNvPr id="0" name="SS-10-signin-gate.png"/>
                          <pic:cNvPicPr/>
                        </pic:nvPicPr>
                        <pic:blipFill>
                          <a:blip r:embed="rId18"/>
                          <a:stretch>
                            <a:fillRect/>
                          </a:stretch>
                        </pic:blipFill>
                        <pic:spPr>
                          <a:xfrm>
                            <a:off x="0" y="0"/>
                            <a:ext cx="2706624" cy="1691640"/>
                          </a:xfrm>
                          <a:prstGeom prst="rect"/>
                        </pic:spPr>
                      </pic:pic>
                    </a:graphicData>
                  </a:graphic>
                </wp:inline>
              </w:drawing>
            </w:r>
          </w:p>
        </w:tc>
        <w:tc>
          <w:tcPr>
            <w:tcW w:type="dxa" w:w="4464"/>
          </w:tcPr>
          <w:p>
            <w:pPr>
              <w:spacing w:after="10" w:before="0" w:line="228" w:lineRule="auto"/>
            </w:pPr>
            <w:r>
              <w:rPr>
                <w:b/>
                <w:sz w:val="16"/>
              </w:rPr>
              <w:t xml:space="preserve">Tool: </w:t>
            </w:r>
            <w:r>
              <w:rPr>
                <w:sz w:val="16"/>
              </w:rPr>
              <w:t>App console (</w:t>
            </w:r>
            <w:r>
              <w:rPr>
                <w:rFonts w:ascii="Consolas" w:hAnsi="Consolas" w:cs="Consolas"/>
                <w:sz w:val="15"/>
              </w:rPr>
              <w:t>http://127.0.0.1:3010</w:t>
            </w:r>
            <w:r>
              <w:rPr>
                <w:sz w:val="16"/>
              </w:rPr>
              <w:t>)</w:t>
            </w:r>
          </w:p>
          <w:p>
            <w:pPr>
              <w:spacing w:after="10" w:before="0" w:line="228" w:lineRule="auto"/>
            </w:pPr>
            <w:r>
              <w:rPr>
                <w:b/>
                <w:sz w:val="16"/>
              </w:rPr>
              <w:t xml:space="preserve">Where: </w:t>
            </w:r>
            <w:r>
              <w:rPr>
                <w:sz w:val="16"/>
              </w:rPr>
              <w:t>The landing screen</w:t>
            </w:r>
          </w:p>
          <w:p>
            <w:pPr>
              <w:spacing w:after="10" w:before="0" w:line="228" w:lineRule="auto"/>
            </w:pPr>
            <w:r>
              <w:rPr>
                <w:b/>
                <w:sz w:val="16"/>
              </w:rPr>
              <w:t xml:space="preserve">Must show: </w:t>
            </w:r>
            <w:r>
              <w:rPr>
                <w:sz w:val="16"/>
              </w:rPr>
              <w:t>The six demo roles and the refusal notice</w:t>
            </w:r>
          </w:p>
          <w:p>
            <w:pPr>
              <w:spacing w:after="10" w:before="0" w:line="228" w:lineRule="auto"/>
            </w:pPr>
            <w:r>
              <w:rPr>
                <w:b/>
                <w:sz w:val="16"/>
              </w:rPr>
              <w:t xml:space="preserve">Why: </w:t>
            </w:r>
            <w:r>
              <w:rPr>
                <w:sz w:val="16"/>
              </w:rPr>
              <w:t>The entry point for every role-scoped view in §2.9</w:t>
            </w:r>
          </w:p>
          <w:p>
            <w:pPr>
              <w:spacing w:before="0" w:after="20"/>
            </w:pPr>
            <w:r>
              <w:rPr>
                <w:i/>
                <w:color w:val="666666"/>
                <w:sz w:val="14"/>
              </w:rPr>
              <w:t>The sign-in screen</w:t>
            </w:r>
          </w:p>
        </w:tc>
      </w:tr>
    </w:tbl>
    <w:p>
      <w:pPr>
        <w:spacing w:after="40" w:before="0"/>
      </w:pPr>
    </w:p>
    <w:p>
      <w:pPr>
        <w:keepNext/>
        <w:spacing w:before="100" w:after="40"/>
      </w:pPr>
      <w:r>
        <w:rPr>
          <w:b/>
          <w:color w:val="2E5496"/>
          <w:sz w:val="20"/>
        </w:rPr>
        <w:t>§5.2 A customer's view</w:t>
      </w:r>
    </w:p>
    <w:p>
      <w:r>
        <w:rPr>
          <w:b/>
          <w:sz w:val="20"/>
        </w:rPr>
        <w:t>SS-11 — Customer dashboard.</w:t>
      </w:r>
    </w:p>
    <w:tbl>
      <w:tblPr>
        <w:tblW w:type="auto" w:w="0"/>
        <w:tblLayout w:type="fixed"/>
        <w:tblLook w:firstColumn="1" w:firstRow="1" w:lastColumn="0" w:lastRow="0" w:noHBand="0" w:noVBand="1" w:val="04A0"/>
      </w:tblPr>
      <w:tblGrid>
        <w:gridCol w:w="4968"/>
        <w:gridCol w:w="4968"/>
      </w:tblGrid>
      <w:tr>
        <w:tc>
          <w:tcPr>
            <w:tcW w:type="dxa" w:w="4824"/>
          </w:tcPr>
          <w:p>
            <w:pPr>
              <w:spacing w:before="20" w:after="20"/>
              <w:jc w:val="center"/>
            </w:pPr>
            <w:r>
              <w:drawing>
                <wp:inline xmlns:a="http://schemas.openxmlformats.org/drawingml/2006/main" xmlns:pic="http://schemas.openxmlformats.org/drawingml/2006/picture">
                  <wp:extent cx="2706624" cy="1691640"/>
                  <wp:docPr id="11" name="Picture 11"/>
                  <wp:cNvGraphicFramePr>
                    <a:graphicFrameLocks noChangeAspect="1"/>
                  </wp:cNvGraphicFramePr>
                  <a:graphic>
                    <a:graphicData uri="http://schemas.openxmlformats.org/drawingml/2006/picture">
                      <pic:pic>
                        <pic:nvPicPr>
                          <pic:cNvPr id="0" name="SS-11-customer-dashboard.png"/>
                          <pic:cNvPicPr/>
                        </pic:nvPicPr>
                        <pic:blipFill>
                          <a:blip r:embed="rId19"/>
                          <a:stretch>
                            <a:fillRect/>
                          </a:stretch>
                        </pic:blipFill>
                        <pic:spPr>
                          <a:xfrm>
                            <a:off x="0" y="0"/>
                            <a:ext cx="2706624" cy="1691640"/>
                          </a:xfrm>
                          <a:prstGeom prst="rect"/>
                        </pic:spPr>
                      </pic:pic>
                    </a:graphicData>
                  </a:graphic>
                </wp:inline>
              </w:drawing>
            </w:r>
          </w:p>
        </w:tc>
        <w:tc>
          <w:tcPr>
            <w:tcW w:type="dxa" w:w="4464"/>
          </w:tcPr>
          <w:p>
            <w:pPr>
              <w:spacing w:after="10" w:before="0" w:line="228" w:lineRule="auto"/>
            </w:pPr>
            <w:r>
              <w:rPr>
                <w:b/>
                <w:sz w:val="16"/>
              </w:rPr>
              <w:t xml:space="preserve">Tool: </w:t>
            </w:r>
            <w:r>
              <w:rPr>
                <w:sz w:val="16"/>
              </w:rPr>
              <w:t>App console</w:t>
            </w:r>
          </w:p>
          <w:p>
            <w:pPr>
              <w:spacing w:after="10" w:before="0" w:line="228" w:lineRule="auto"/>
            </w:pPr>
            <w:r>
              <w:rPr>
                <w:b/>
                <w:sz w:val="16"/>
              </w:rPr>
              <w:t xml:space="preserve">Where: </w:t>
            </w:r>
            <w:r>
              <w:rPr>
                <w:sz w:val="16"/>
              </w:rPr>
              <w:t>Sign in as a customer</w:t>
            </w:r>
          </w:p>
          <w:p>
            <w:pPr>
              <w:spacing w:after="10" w:before="0" w:line="228" w:lineRule="auto"/>
            </w:pPr>
            <w:r>
              <w:rPr>
                <w:b/>
                <w:sz w:val="16"/>
              </w:rPr>
              <w:t xml:space="preserve">Must show: </w:t>
            </w:r>
            <w:r>
              <w:rPr>
                <w:sz w:val="16"/>
              </w:rPr>
              <w:t>Orders placed, lifetime spend, cart contents and open returns</w:t>
            </w:r>
          </w:p>
          <w:p>
            <w:pPr>
              <w:spacing w:after="10" w:before="0" w:line="228" w:lineRule="auto"/>
            </w:pPr>
            <w:r>
              <w:rPr>
                <w:b/>
                <w:sz w:val="16"/>
              </w:rPr>
              <w:t xml:space="preserve">Why: </w:t>
            </w:r>
            <w:r>
              <w:rPr>
                <w:sz w:val="16"/>
              </w:rPr>
              <w:t>The role-chosen dashboard from §2.9 and E7</w:t>
            </w:r>
          </w:p>
          <w:p>
            <w:pPr>
              <w:spacing w:before="0" w:after="20"/>
            </w:pPr>
            <w:r>
              <w:rPr>
                <w:i/>
                <w:color w:val="666666"/>
                <w:sz w:val="14"/>
              </w:rPr>
              <w:t>The customer dashboard</w:t>
            </w:r>
          </w:p>
        </w:tc>
      </w:tr>
    </w:tbl>
    <w:p>
      <w:pPr>
        <w:spacing w:after="40" w:before="0"/>
      </w:pPr>
    </w:p>
    <w:p>
      <w:r>
        <w:rPr>
          <w:b/>
          <w:sz w:val="20"/>
        </w:rPr>
        <w:t>SS-12 — Catalogue.</w:t>
      </w:r>
    </w:p>
    <w:tbl>
      <w:tblPr>
        <w:tblW w:type="auto" w:w="0"/>
        <w:tblLayout w:type="fixed"/>
        <w:tblLook w:firstColumn="1" w:firstRow="1" w:lastColumn="0" w:lastRow="0" w:noHBand="0" w:noVBand="1" w:val="04A0"/>
      </w:tblPr>
      <w:tblGrid>
        <w:gridCol w:w="4968"/>
        <w:gridCol w:w="4968"/>
      </w:tblGrid>
      <w:tr>
        <w:tc>
          <w:tcPr>
            <w:tcW w:type="dxa" w:w="4824"/>
          </w:tcPr>
          <w:p>
            <w:pPr>
              <w:spacing w:before="20" w:after="20"/>
              <w:jc w:val="center"/>
            </w:pPr>
            <w:r>
              <w:drawing>
                <wp:inline xmlns:a="http://schemas.openxmlformats.org/drawingml/2006/main" xmlns:pic="http://schemas.openxmlformats.org/drawingml/2006/picture">
                  <wp:extent cx="2706624" cy="1691640"/>
                  <wp:docPr id="12" name="Picture 12"/>
                  <wp:cNvGraphicFramePr>
                    <a:graphicFrameLocks noChangeAspect="1"/>
                  </wp:cNvGraphicFramePr>
                  <a:graphic>
                    <a:graphicData uri="http://schemas.openxmlformats.org/drawingml/2006/picture">
                      <pic:pic>
                        <pic:nvPicPr>
                          <pic:cNvPr id="0" name="SS-12-catalogue.png"/>
                          <pic:cNvPicPr/>
                        </pic:nvPicPr>
                        <pic:blipFill>
                          <a:blip r:embed="rId20"/>
                          <a:stretch>
                            <a:fillRect/>
                          </a:stretch>
                        </pic:blipFill>
                        <pic:spPr>
                          <a:xfrm>
                            <a:off x="0" y="0"/>
                            <a:ext cx="2706624" cy="1691640"/>
                          </a:xfrm>
                          <a:prstGeom prst="rect"/>
                        </pic:spPr>
                      </pic:pic>
                    </a:graphicData>
                  </a:graphic>
                </wp:inline>
              </w:drawing>
            </w:r>
          </w:p>
        </w:tc>
        <w:tc>
          <w:tcPr>
            <w:tcW w:type="dxa" w:w="4464"/>
          </w:tcPr>
          <w:p>
            <w:pPr>
              <w:spacing w:after="10" w:before="0" w:line="228" w:lineRule="auto"/>
            </w:pPr>
            <w:r>
              <w:rPr>
                <w:b/>
                <w:sz w:val="16"/>
              </w:rPr>
              <w:t xml:space="preserve">Tool: </w:t>
            </w:r>
            <w:r>
              <w:rPr>
                <w:sz w:val="16"/>
              </w:rPr>
              <w:t>App console</w:t>
            </w:r>
          </w:p>
          <w:p>
            <w:pPr>
              <w:spacing w:after="10" w:before="0" w:line="228" w:lineRule="auto"/>
            </w:pPr>
            <w:r>
              <w:rPr>
                <w:b/>
                <w:sz w:val="16"/>
              </w:rPr>
              <w:t xml:space="preserve">Where: </w:t>
            </w:r>
            <w:r>
              <w:rPr>
                <w:sz w:val="16"/>
              </w:rPr>
              <w:t>Catalogue</w:t>
            </w:r>
          </w:p>
          <w:p>
            <w:pPr>
              <w:spacing w:after="10" w:before="0" w:line="228" w:lineRule="auto"/>
            </w:pPr>
            <w:r>
              <w:rPr>
                <w:b/>
                <w:sz w:val="16"/>
              </w:rPr>
              <w:t xml:space="preserve">Must show: </w:t>
            </w:r>
            <w:r>
              <w:rPr>
                <w:sz w:val="16"/>
              </w:rPr>
              <w:t>Search, category, sort, and live availability per SKU</w:t>
            </w:r>
          </w:p>
          <w:p>
            <w:pPr>
              <w:spacing w:after="10" w:before="0" w:line="228" w:lineRule="auto"/>
            </w:pPr>
            <w:r>
              <w:rPr>
                <w:b/>
                <w:sz w:val="16"/>
              </w:rPr>
              <w:t xml:space="preserve">Why: </w:t>
            </w:r>
            <w:r>
              <w:rPr>
                <w:sz w:val="16"/>
              </w:rPr>
              <w:t>Availability is computed from stock, never stored (§2.5)</w:t>
            </w:r>
          </w:p>
          <w:p>
            <w:pPr>
              <w:spacing w:before="0" w:after="20"/>
            </w:pPr>
            <w:r>
              <w:rPr>
                <w:i/>
                <w:color w:val="666666"/>
                <w:sz w:val="14"/>
              </w:rPr>
              <w:t>The catalogue</w:t>
            </w:r>
          </w:p>
        </w:tc>
      </w:tr>
    </w:tbl>
    <w:p>
      <w:pPr>
        <w:spacing w:after="40" w:before="0"/>
      </w:pPr>
    </w:p>
    <w:p>
      <w:r>
        <w:rPr>
          <w:b/>
          <w:sz w:val="20"/>
        </w:rPr>
        <w:t>SS-13 — A product with two SKUs.</w:t>
      </w:r>
    </w:p>
    <w:tbl>
      <w:tblPr>
        <w:tblW w:type="auto" w:w="0"/>
        <w:tblLayout w:type="fixed"/>
        <w:tblLook w:firstColumn="1" w:firstRow="1" w:lastColumn="0" w:lastRow="0" w:noHBand="0" w:noVBand="1" w:val="04A0"/>
      </w:tblPr>
      <w:tblGrid>
        <w:gridCol w:w="4968"/>
        <w:gridCol w:w="4968"/>
      </w:tblGrid>
      <w:tr>
        <w:tc>
          <w:tcPr>
            <w:tcW w:type="dxa" w:w="4824"/>
          </w:tcPr>
          <w:p>
            <w:pPr>
              <w:spacing w:before="20" w:after="20"/>
              <w:jc w:val="center"/>
            </w:pPr>
            <w:r>
              <w:drawing>
                <wp:inline xmlns:a="http://schemas.openxmlformats.org/drawingml/2006/main" xmlns:pic="http://schemas.openxmlformats.org/drawingml/2006/picture">
                  <wp:extent cx="2706624" cy="1691640"/>
                  <wp:docPr id="13" name="Picture 13"/>
                  <wp:cNvGraphicFramePr>
                    <a:graphicFrameLocks noChangeAspect="1"/>
                  </wp:cNvGraphicFramePr>
                  <a:graphic>
                    <a:graphicData uri="http://schemas.openxmlformats.org/drawingml/2006/picture">
                      <pic:pic>
                        <pic:nvPicPr>
                          <pic:cNvPr id="0" name="SS-13-product-variants.png"/>
                          <pic:cNvPicPr/>
                        </pic:nvPicPr>
                        <pic:blipFill>
                          <a:blip r:embed="rId21"/>
                          <a:stretch>
                            <a:fillRect/>
                          </a:stretch>
                        </pic:blipFill>
                        <pic:spPr>
                          <a:xfrm>
                            <a:off x="0" y="0"/>
                            <a:ext cx="2706624" cy="1691640"/>
                          </a:xfrm>
                          <a:prstGeom prst="rect"/>
                        </pic:spPr>
                      </pic:pic>
                    </a:graphicData>
                  </a:graphic>
                </wp:inline>
              </w:drawing>
            </w:r>
          </w:p>
        </w:tc>
        <w:tc>
          <w:tcPr>
            <w:tcW w:type="dxa" w:w="4464"/>
          </w:tcPr>
          <w:p>
            <w:pPr>
              <w:spacing w:after="10" w:before="0" w:line="228" w:lineRule="auto"/>
            </w:pPr>
            <w:r>
              <w:rPr>
                <w:b/>
                <w:sz w:val="16"/>
              </w:rPr>
              <w:t xml:space="preserve">Tool: </w:t>
            </w:r>
            <w:r>
              <w:rPr>
                <w:sz w:val="16"/>
              </w:rPr>
              <w:t>App console</w:t>
            </w:r>
          </w:p>
          <w:p>
            <w:pPr>
              <w:spacing w:after="10" w:before="0" w:line="228" w:lineRule="auto"/>
            </w:pPr>
            <w:r>
              <w:rPr>
                <w:b/>
                <w:sz w:val="16"/>
              </w:rPr>
              <w:t xml:space="preserve">Where: </w:t>
            </w:r>
            <w:r>
              <w:rPr>
                <w:sz w:val="16"/>
              </w:rPr>
              <w:t>A product page</w:t>
            </w:r>
          </w:p>
          <w:p>
            <w:pPr>
              <w:spacing w:after="10" w:before="0" w:line="228" w:lineRule="auto"/>
            </w:pPr>
            <w:r>
              <w:rPr>
                <w:b/>
                <w:sz w:val="16"/>
              </w:rPr>
              <w:t xml:space="preserve">Must show: </w:t>
            </w:r>
            <w:r>
              <w:rPr>
                <w:sz w:val="16"/>
              </w:rPr>
              <w:t>Two SKUs, prices in paise, computed availability</w:t>
            </w:r>
          </w:p>
          <w:p>
            <w:pPr>
              <w:spacing w:after="10" w:before="0" w:line="228" w:lineRule="auto"/>
            </w:pPr>
            <w:r>
              <w:rPr>
                <w:b/>
                <w:sz w:val="16"/>
              </w:rPr>
              <w:t xml:space="preserve">Why: </w:t>
            </w:r>
            <w:r>
              <w:rPr>
                <w:sz w:val="16"/>
              </w:rPr>
              <w:t>The money rule from §2.6 shown in the UI</w:t>
            </w:r>
          </w:p>
          <w:p>
            <w:pPr>
              <w:spacing w:before="0" w:after="20"/>
            </w:pPr>
            <w:r>
              <w:rPr>
                <w:i/>
                <w:color w:val="666666"/>
                <w:sz w:val="14"/>
              </w:rPr>
              <w:t>A product with its SKUs</w:t>
            </w:r>
          </w:p>
        </w:tc>
      </w:tr>
    </w:tbl>
    <w:p>
      <w:pPr>
        <w:spacing w:after="40" w:before="0"/>
      </w:pPr>
    </w:p>
    <w:p>
      <w:r>
        <w:rPr>
          <w:b/>
          <w:sz w:val="20"/>
        </w:rPr>
        <w:t>SS-14 — Cart totals.</w:t>
      </w:r>
    </w:p>
    <w:tbl>
      <w:tblPr>
        <w:tblW w:type="auto" w:w="0"/>
        <w:tblLayout w:type="fixed"/>
        <w:tblLook w:firstColumn="1" w:firstRow="1" w:lastColumn="0" w:lastRow="0" w:noHBand="0" w:noVBand="1" w:val="04A0"/>
      </w:tblPr>
      <w:tblGrid>
        <w:gridCol w:w="4968"/>
        <w:gridCol w:w="4968"/>
      </w:tblGrid>
      <w:tr>
        <w:tc>
          <w:tcPr>
            <w:tcW w:type="dxa" w:w="4824"/>
          </w:tcPr>
          <w:p>
            <w:pPr>
              <w:spacing w:before="20" w:after="20"/>
              <w:jc w:val="center"/>
            </w:pPr>
            <w:r>
              <w:drawing>
                <wp:inline xmlns:a="http://schemas.openxmlformats.org/drawingml/2006/main" xmlns:pic="http://schemas.openxmlformats.org/drawingml/2006/picture">
                  <wp:extent cx="2706624" cy="1691640"/>
                  <wp:docPr id="14" name="Picture 14"/>
                  <wp:cNvGraphicFramePr>
                    <a:graphicFrameLocks noChangeAspect="1"/>
                  </wp:cNvGraphicFramePr>
                  <a:graphic>
                    <a:graphicData uri="http://schemas.openxmlformats.org/drawingml/2006/picture">
                      <pic:pic>
                        <pic:nvPicPr>
                          <pic:cNvPr id="0" name="SS-14-cart-totals.png"/>
                          <pic:cNvPicPr/>
                        </pic:nvPicPr>
                        <pic:blipFill>
                          <a:blip r:embed="rId22"/>
                          <a:stretch>
                            <a:fillRect/>
                          </a:stretch>
                        </pic:blipFill>
                        <pic:spPr>
                          <a:xfrm>
                            <a:off x="0" y="0"/>
                            <a:ext cx="2706624" cy="1691640"/>
                          </a:xfrm>
                          <a:prstGeom prst="rect"/>
                        </pic:spPr>
                      </pic:pic>
                    </a:graphicData>
                  </a:graphic>
                </wp:inline>
              </w:drawing>
            </w:r>
          </w:p>
        </w:tc>
        <w:tc>
          <w:tcPr>
            <w:tcW w:type="dxa" w:w="4464"/>
          </w:tcPr>
          <w:p>
            <w:pPr>
              <w:spacing w:after="10" w:before="0" w:line="228" w:lineRule="auto"/>
            </w:pPr>
            <w:r>
              <w:rPr>
                <w:b/>
                <w:sz w:val="16"/>
              </w:rPr>
              <w:t xml:space="preserve">Tool: </w:t>
            </w:r>
            <w:r>
              <w:rPr>
                <w:sz w:val="16"/>
              </w:rPr>
              <w:t>App console</w:t>
            </w:r>
          </w:p>
          <w:p>
            <w:pPr>
              <w:spacing w:after="10" w:before="0" w:line="228" w:lineRule="auto"/>
            </w:pPr>
            <w:r>
              <w:rPr>
                <w:b/>
                <w:sz w:val="16"/>
              </w:rPr>
              <w:t xml:space="preserve">Where: </w:t>
            </w:r>
            <w:r>
              <w:rPr>
                <w:sz w:val="16"/>
              </w:rPr>
              <w:t>Cart</w:t>
            </w:r>
          </w:p>
          <w:p>
            <w:pPr>
              <w:spacing w:after="10" w:before="0" w:line="228" w:lineRule="auto"/>
            </w:pPr>
            <w:r>
              <w:rPr>
                <w:b/>
                <w:sz w:val="16"/>
              </w:rPr>
              <w:t xml:space="preserve">Must show: </w:t>
            </w:r>
            <w:r>
              <w:rPr>
                <w:sz w:val="16"/>
              </w:rPr>
              <w:t>Subtotal, 18% GST, shipping and grand total — all integer paise</w:t>
            </w:r>
          </w:p>
          <w:p>
            <w:pPr>
              <w:spacing w:after="10" w:before="0" w:line="228" w:lineRule="auto"/>
            </w:pPr>
            <w:r>
              <w:rPr>
                <w:b/>
                <w:sz w:val="16"/>
              </w:rPr>
              <w:t xml:space="preserve">Why: </w:t>
            </w:r>
            <w:r>
              <w:rPr>
                <w:sz w:val="16"/>
              </w:rPr>
              <w:t>The identity in §2.5 and the money rule in §2.6</w:t>
            </w:r>
          </w:p>
          <w:p>
            <w:pPr>
              <w:spacing w:before="0" w:after="20"/>
            </w:pPr>
            <w:r>
              <w:rPr>
                <w:i/>
                <w:color w:val="666666"/>
                <w:sz w:val="14"/>
              </w:rPr>
              <w:t>A cart with integer totals</w:t>
            </w:r>
          </w:p>
        </w:tc>
      </w:tr>
    </w:tbl>
    <w:p>
      <w:pPr>
        <w:spacing w:after="40" w:before="0"/>
      </w:pPr>
    </w:p>
    <w:p>
      <w:r>
        <w:rPr>
          <w:b/>
          <w:sz w:val="20"/>
        </w:rPr>
        <w:t>SS-15 — Order list.</w:t>
      </w:r>
    </w:p>
    <w:tbl>
      <w:tblPr>
        <w:tblW w:type="auto" w:w="0"/>
        <w:tblLayout w:type="fixed"/>
        <w:tblLook w:firstColumn="1" w:firstRow="1" w:lastColumn="0" w:lastRow="0" w:noHBand="0" w:noVBand="1" w:val="04A0"/>
      </w:tblPr>
      <w:tblGrid>
        <w:gridCol w:w="4968"/>
        <w:gridCol w:w="4968"/>
      </w:tblGrid>
      <w:tr>
        <w:tc>
          <w:tcPr>
            <w:tcW w:type="dxa" w:w="4824"/>
          </w:tcPr>
          <w:p>
            <w:pPr>
              <w:spacing w:before="20" w:after="20"/>
              <w:jc w:val="center"/>
            </w:pPr>
            <w:r>
              <w:drawing>
                <wp:inline xmlns:a="http://schemas.openxmlformats.org/drawingml/2006/main" xmlns:pic="http://schemas.openxmlformats.org/drawingml/2006/picture">
                  <wp:extent cx="2706624" cy="1691640"/>
                  <wp:docPr id="15" name="Picture 15"/>
                  <wp:cNvGraphicFramePr>
                    <a:graphicFrameLocks noChangeAspect="1"/>
                  </wp:cNvGraphicFramePr>
                  <a:graphic>
                    <a:graphicData uri="http://schemas.openxmlformats.org/drawingml/2006/picture">
                      <pic:pic>
                        <pic:nvPicPr>
                          <pic:cNvPr id="0" name="SS-15-order-list.png"/>
                          <pic:cNvPicPr/>
                        </pic:nvPicPr>
                        <pic:blipFill>
                          <a:blip r:embed="rId23"/>
                          <a:stretch>
                            <a:fillRect/>
                          </a:stretch>
                        </pic:blipFill>
                        <pic:spPr>
                          <a:xfrm>
                            <a:off x="0" y="0"/>
                            <a:ext cx="2706624" cy="1691640"/>
                          </a:xfrm>
                          <a:prstGeom prst="rect"/>
                        </pic:spPr>
                      </pic:pic>
                    </a:graphicData>
                  </a:graphic>
                </wp:inline>
              </w:drawing>
            </w:r>
          </w:p>
        </w:tc>
        <w:tc>
          <w:tcPr>
            <w:tcW w:type="dxa" w:w="4464"/>
          </w:tcPr>
          <w:p>
            <w:pPr>
              <w:spacing w:after="10" w:before="0" w:line="228" w:lineRule="auto"/>
            </w:pPr>
            <w:r>
              <w:rPr>
                <w:b/>
                <w:sz w:val="16"/>
              </w:rPr>
              <w:t xml:space="preserve">Tool: </w:t>
            </w:r>
            <w:r>
              <w:rPr>
                <w:sz w:val="16"/>
              </w:rPr>
              <w:t>App console</w:t>
            </w:r>
          </w:p>
          <w:p>
            <w:pPr>
              <w:spacing w:after="10" w:before="0" w:line="228" w:lineRule="auto"/>
            </w:pPr>
            <w:r>
              <w:rPr>
                <w:b/>
                <w:sz w:val="16"/>
              </w:rPr>
              <w:t xml:space="preserve">Where: </w:t>
            </w:r>
            <w:r>
              <w:rPr>
                <w:sz w:val="16"/>
              </w:rPr>
              <w:t>Orders</w:t>
            </w:r>
          </w:p>
          <w:p>
            <w:pPr>
              <w:spacing w:after="10" w:before="0" w:line="228" w:lineRule="auto"/>
            </w:pPr>
            <w:r>
              <w:rPr>
                <w:b/>
                <w:sz w:val="16"/>
              </w:rPr>
              <w:t xml:space="preserve">Must show: </w:t>
            </w:r>
            <w:r>
              <w:rPr>
                <w:sz w:val="16"/>
              </w:rPr>
              <w:t>Only the signed-in customer's own orders</w:t>
            </w:r>
          </w:p>
          <w:p>
            <w:pPr>
              <w:spacing w:after="10" w:before="0" w:line="228" w:lineRule="auto"/>
            </w:pPr>
            <w:r>
              <w:rPr>
                <w:b/>
                <w:sz w:val="16"/>
              </w:rPr>
              <w:t xml:space="preserve">Why: </w:t>
            </w:r>
            <w:r>
              <w:rPr>
                <w:sz w:val="16"/>
              </w:rPr>
              <w:t>Ownership scoping from §2.9</w:t>
            </w:r>
          </w:p>
          <w:p>
            <w:pPr>
              <w:spacing w:before="0" w:after="20"/>
            </w:pPr>
            <w:r>
              <w:rPr>
                <w:i/>
                <w:color w:val="666666"/>
                <w:sz w:val="14"/>
              </w:rPr>
              <w:t>A customer's own orders</w:t>
            </w:r>
          </w:p>
        </w:tc>
      </w:tr>
    </w:tbl>
    <w:p>
      <w:pPr>
        <w:spacing w:after="40" w:before="0"/>
      </w:pPr>
    </w:p>
    <w:p>
      <w:r>
        <w:rPr>
          <w:b/>
          <w:sz w:val="20"/>
        </w:rPr>
        <w:t>SS-16 — Order detail.</w:t>
      </w:r>
    </w:p>
    <w:tbl>
      <w:tblPr>
        <w:tblW w:type="auto" w:w="0"/>
        <w:tblLayout w:type="fixed"/>
        <w:tblLook w:firstColumn="1" w:firstRow="1" w:lastColumn="0" w:lastRow="0" w:noHBand="0" w:noVBand="1" w:val="04A0"/>
      </w:tblPr>
      <w:tblGrid>
        <w:gridCol w:w="4968"/>
        <w:gridCol w:w="4968"/>
      </w:tblGrid>
      <w:tr>
        <w:tc>
          <w:tcPr>
            <w:tcW w:type="dxa" w:w="4824"/>
          </w:tcPr>
          <w:p>
            <w:pPr>
              <w:spacing w:before="20" w:after="20"/>
              <w:jc w:val="center"/>
            </w:pPr>
            <w:r>
              <w:drawing>
                <wp:inline xmlns:a="http://schemas.openxmlformats.org/drawingml/2006/main" xmlns:pic="http://schemas.openxmlformats.org/drawingml/2006/picture">
                  <wp:extent cx="2706624" cy="1691640"/>
                  <wp:docPr id="16" name="Picture 16"/>
                  <wp:cNvGraphicFramePr>
                    <a:graphicFrameLocks noChangeAspect="1"/>
                  </wp:cNvGraphicFramePr>
                  <a:graphic>
                    <a:graphicData uri="http://schemas.openxmlformats.org/drawingml/2006/picture">
                      <pic:pic>
                        <pic:nvPicPr>
                          <pic:cNvPr id="0" name="SS-16-order-detail.png"/>
                          <pic:cNvPicPr/>
                        </pic:nvPicPr>
                        <pic:blipFill>
                          <a:blip r:embed="rId24"/>
                          <a:stretch>
                            <a:fillRect/>
                          </a:stretch>
                        </pic:blipFill>
                        <pic:spPr>
                          <a:xfrm>
                            <a:off x="0" y="0"/>
                            <a:ext cx="2706624" cy="1691640"/>
                          </a:xfrm>
                          <a:prstGeom prst="rect"/>
                        </pic:spPr>
                      </pic:pic>
                    </a:graphicData>
                  </a:graphic>
                </wp:inline>
              </w:drawing>
            </w:r>
          </w:p>
        </w:tc>
        <w:tc>
          <w:tcPr>
            <w:tcW w:type="dxa" w:w="4464"/>
          </w:tcPr>
          <w:p>
            <w:pPr>
              <w:spacing w:after="10" w:before="0" w:line="228" w:lineRule="auto"/>
            </w:pPr>
            <w:r>
              <w:rPr>
                <w:b/>
                <w:sz w:val="16"/>
              </w:rPr>
              <w:t xml:space="preserve">Tool: </w:t>
            </w:r>
            <w:r>
              <w:rPr>
                <w:sz w:val="16"/>
              </w:rPr>
              <w:t>App console</w:t>
            </w:r>
          </w:p>
          <w:p>
            <w:pPr>
              <w:spacing w:after="10" w:before="0" w:line="228" w:lineRule="auto"/>
            </w:pPr>
            <w:r>
              <w:rPr>
                <w:b/>
                <w:sz w:val="16"/>
              </w:rPr>
              <w:t xml:space="preserve">Where: </w:t>
            </w:r>
            <w:r>
              <w:rPr>
                <w:sz w:val="16"/>
              </w:rPr>
              <w:t>An order</w:t>
            </w:r>
          </w:p>
          <w:p>
            <w:pPr>
              <w:spacing w:after="10" w:before="0" w:line="228" w:lineRule="auto"/>
            </w:pPr>
            <w:r>
              <w:rPr>
                <w:b/>
                <w:sz w:val="16"/>
              </w:rPr>
              <w:t xml:space="preserve">Must show: </w:t>
            </w:r>
            <w:r>
              <w:rPr>
                <w:sz w:val="16"/>
              </w:rPr>
              <w:t>Snapshotted lines, totals, and the legal next states for the role</w:t>
            </w:r>
          </w:p>
          <w:p>
            <w:pPr>
              <w:spacing w:after="10" w:before="0" w:line="228" w:lineRule="auto"/>
            </w:pPr>
            <w:r>
              <w:rPr>
                <w:b/>
                <w:sz w:val="16"/>
              </w:rPr>
              <w:t xml:space="preserve">Why: </w:t>
            </w:r>
            <w:r>
              <w:rPr>
                <w:sz w:val="16"/>
              </w:rPr>
              <w:t>The closed state machine from §2.7, surfaced to the user</w:t>
            </w:r>
          </w:p>
          <w:p>
            <w:pPr>
              <w:spacing w:before="0" w:after="20"/>
            </w:pPr>
            <w:r>
              <w:rPr>
                <w:i/>
                <w:color w:val="666666"/>
                <w:sz w:val="14"/>
              </w:rPr>
              <w:t>An order's detail and legal next states</w:t>
            </w:r>
          </w:p>
        </w:tc>
      </w:tr>
    </w:tbl>
    <w:p>
      <w:pPr>
        <w:spacing w:after="40" w:before="0"/>
      </w:pPr>
    </w:p>
    <w:p>
      <w:r>
        <w:rPr>
          <w:b/>
          <w:sz w:val="20"/>
        </w:rPr>
        <w:t>SS-17 — A refusal that names the roles.</w:t>
      </w:r>
    </w:p>
    <w:tbl>
      <w:tblPr>
        <w:tblW w:type="auto" w:w="0"/>
        <w:tblLayout w:type="fixed"/>
        <w:tblLook w:firstColumn="1" w:firstRow="1" w:lastColumn="0" w:lastRow="0" w:noHBand="0" w:noVBand="1" w:val="04A0"/>
      </w:tblPr>
      <w:tblGrid>
        <w:gridCol w:w="4968"/>
        <w:gridCol w:w="4968"/>
      </w:tblGrid>
      <w:tr>
        <w:tc>
          <w:tcPr>
            <w:tcW w:type="dxa" w:w="4824"/>
          </w:tcPr>
          <w:p>
            <w:pPr>
              <w:spacing w:before="20" w:after="20"/>
              <w:jc w:val="center"/>
            </w:pPr>
            <w:r>
              <w:drawing>
                <wp:inline xmlns:a="http://schemas.openxmlformats.org/drawingml/2006/main" xmlns:pic="http://schemas.openxmlformats.org/drawingml/2006/picture">
                  <wp:extent cx="2706624" cy="1691640"/>
                  <wp:docPr id="17" name="Picture 17"/>
                  <wp:cNvGraphicFramePr>
                    <a:graphicFrameLocks noChangeAspect="1"/>
                  </wp:cNvGraphicFramePr>
                  <a:graphic>
                    <a:graphicData uri="http://schemas.openxmlformats.org/drawingml/2006/picture">
                      <pic:pic>
                        <pic:nvPicPr>
                          <pic:cNvPr id="0" name="SS-17-customer-403.png"/>
                          <pic:cNvPicPr/>
                        </pic:nvPicPr>
                        <pic:blipFill>
                          <a:blip r:embed="rId25"/>
                          <a:stretch>
                            <a:fillRect/>
                          </a:stretch>
                        </pic:blipFill>
                        <pic:spPr>
                          <a:xfrm>
                            <a:off x="0" y="0"/>
                            <a:ext cx="2706624" cy="1691640"/>
                          </a:xfrm>
                          <a:prstGeom prst="rect"/>
                        </pic:spPr>
                      </pic:pic>
                    </a:graphicData>
                  </a:graphic>
                </wp:inline>
              </w:drawing>
            </w:r>
          </w:p>
        </w:tc>
        <w:tc>
          <w:tcPr>
            <w:tcW w:type="dxa" w:w="4464"/>
          </w:tcPr>
          <w:p>
            <w:pPr>
              <w:spacing w:after="10" w:before="0" w:line="228" w:lineRule="auto"/>
            </w:pPr>
            <w:r>
              <w:rPr>
                <w:b/>
                <w:sz w:val="16"/>
              </w:rPr>
              <w:t xml:space="preserve">Tool: </w:t>
            </w:r>
            <w:r>
              <w:rPr>
                <w:sz w:val="16"/>
              </w:rPr>
              <w:t>App console</w:t>
            </w:r>
          </w:p>
          <w:p>
            <w:pPr>
              <w:spacing w:after="10" w:before="0" w:line="228" w:lineRule="auto"/>
            </w:pPr>
            <w:r>
              <w:rPr>
                <w:b/>
                <w:sz w:val="16"/>
              </w:rPr>
              <w:t xml:space="preserve">Where: </w:t>
            </w:r>
            <w:r>
              <w:rPr>
                <w:sz w:val="16"/>
              </w:rPr>
              <w:t>A customer navigating to an inventory route</w:t>
            </w:r>
          </w:p>
          <w:p>
            <w:pPr>
              <w:spacing w:after="10" w:before="0" w:line="228" w:lineRule="auto"/>
            </w:pPr>
            <w:r>
              <w:rPr>
                <w:b/>
                <w:sz w:val="16"/>
              </w:rPr>
              <w:t xml:space="preserve">Must show: </w:t>
            </w:r>
            <w:r>
              <w:rPr>
                <w:sz w:val="16"/>
              </w:rPr>
              <w:t xml:space="preserve">A </w:t>
            </w:r>
            <w:r>
              <w:rPr>
                <w:rFonts w:ascii="Consolas" w:hAnsi="Consolas" w:cs="Consolas"/>
                <w:sz w:val="15"/>
              </w:rPr>
              <w:t>403</w:t>
            </w:r>
            <w:r>
              <w:rPr>
                <w:sz w:val="16"/>
              </w:rPr>
              <w:t>; the error mapper names the roles that were needed</w:t>
            </w:r>
          </w:p>
          <w:p>
            <w:pPr>
              <w:spacing w:after="10" w:before="0" w:line="228" w:lineRule="auto"/>
            </w:pPr>
            <w:r>
              <w:rPr>
                <w:b/>
                <w:sz w:val="16"/>
              </w:rPr>
              <w:t xml:space="preserve">Why: </w:t>
            </w:r>
            <w:r>
              <w:rPr>
                <w:sz w:val="16"/>
              </w:rPr>
              <w:t>Meaningful refusal from §2.9</w:t>
            </w:r>
          </w:p>
          <w:p>
            <w:pPr>
              <w:spacing w:before="0" w:after="20"/>
            </w:pPr>
            <w:r>
              <w:rPr>
                <w:i/>
                <w:color w:val="666666"/>
                <w:sz w:val="14"/>
              </w:rPr>
              <w:t>A 403 refusal naming the roles needed</w:t>
            </w:r>
          </w:p>
        </w:tc>
      </w:tr>
    </w:tbl>
    <w:p>
      <w:pPr>
        <w:spacing w:after="40" w:before="0"/>
      </w:pPr>
    </w:p>
    <w:p>
      <w:pPr>
        <w:keepNext/>
        <w:spacing w:before="100" w:after="40"/>
      </w:pPr>
      <w:r>
        <w:rPr>
          <w:b/>
          <w:color w:val="2E5496"/>
          <w:sz w:val="20"/>
        </w:rPr>
        <w:t>§5.3 A warehouse operator's view</w:t>
      </w:r>
    </w:p>
    <w:p>
      <w:r>
        <w:rPr>
          <w:b/>
          <w:sz w:val="20"/>
        </w:rPr>
        <w:t>SS-18 — Warehouse dashboard.</w:t>
      </w:r>
    </w:p>
    <w:tbl>
      <w:tblPr>
        <w:tblW w:type="auto" w:w="0"/>
        <w:tblLayout w:type="fixed"/>
        <w:tblLook w:firstColumn="1" w:firstRow="1" w:lastColumn="0" w:lastRow="0" w:noHBand="0" w:noVBand="1" w:val="04A0"/>
      </w:tblPr>
      <w:tblGrid>
        <w:gridCol w:w="4968"/>
        <w:gridCol w:w="4968"/>
      </w:tblGrid>
      <w:tr>
        <w:tc>
          <w:tcPr>
            <w:tcW w:type="dxa" w:w="4824"/>
          </w:tcPr>
          <w:p>
            <w:pPr>
              <w:spacing w:before="20" w:after="20"/>
              <w:jc w:val="center"/>
            </w:pPr>
            <w:r>
              <w:drawing>
                <wp:inline xmlns:a="http://schemas.openxmlformats.org/drawingml/2006/main" xmlns:pic="http://schemas.openxmlformats.org/drawingml/2006/picture">
                  <wp:extent cx="2706624" cy="1691640"/>
                  <wp:docPr id="18" name="Picture 18"/>
                  <wp:cNvGraphicFramePr>
                    <a:graphicFrameLocks noChangeAspect="1"/>
                  </wp:cNvGraphicFramePr>
                  <a:graphic>
                    <a:graphicData uri="http://schemas.openxmlformats.org/drawingml/2006/picture">
                      <pic:pic>
                        <pic:nvPicPr>
                          <pic:cNvPr id="0" name="SS-18-warehouse-dashboard.png"/>
                          <pic:cNvPicPr/>
                        </pic:nvPicPr>
                        <pic:blipFill>
                          <a:blip r:embed="rId26"/>
                          <a:stretch>
                            <a:fillRect/>
                          </a:stretch>
                        </pic:blipFill>
                        <pic:spPr>
                          <a:xfrm>
                            <a:off x="0" y="0"/>
                            <a:ext cx="2706624" cy="1691640"/>
                          </a:xfrm>
                          <a:prstGeom prst="rect"/>
                        </pic:spPr>
                      </pic:pic>
                    </a:graphicData>
                  </a:graphic>
                </wp:inline>
              </w:drawing>
            </w:r>
          </w:p>
        </w:tc>
        <w:tc>
          <w:tcPr>
            <w:tcW w:type="dxa" w:w="4464"/>
          </w:tcPr>
          <w:p>
            <w:pPr>
              <w:spacing w:after="10" w:before="0" w:line="228" w:lineRule="auto"/>
            </w:pPr>
            <w:r>
              <w:rPr>
                <w:b/>
                <w:sz w:val="16"/>
              </w:rPr>
              <w:t xml:space="preserve">Tool: </w:t>
            </w:r>
            <w:r>
              <w:rPr>
                <w:sz w:val="16"/>
              </w:rPr>
              <w:t>App console</w:t>
            </w:r>
          </w:p>
          <w:p>
            <w:pPr>
              <w:spacing w:after="10" w:before="0" w:line="228" w:lineRule="auto"/>
            </w:pPr>
            <w:r>
              <w:rPr>
                <w:b/>
                <w:sz w:val="16"/>
              </w:rPr>
              <w:t xml:space="preserve">Where: </w:t>
            </w:r>
            <w:r>
              <w:rPr>
                <w:sz w:val="16"/>
              </w:rPr>
              <w:t>Sign in as a warehouse operator</w:t>
            </w:r>
          </w:p>
          <w:p>
            <w:pPr>
              <w:spacing w:after="10" w:before="0" w:line="228" w:lineRule="auto"/>
            </w:pPr>
            <w:r>
              <w:rPr>
                <w:b/>
                <w:sz w:val="16"/>
              </w:rPr>
              <w:t xml:space="preserve">Must show: </w:t>
            </w:r>
            <w:r>
              <w:rPr>
                <w:sz w:val="16"/>
              </w:rPr>
              <w:t>On hand, reserved, below reorder point, packed orders</w:t>
            </w:r>
          </w:p>
          <w:p>
            <w:pPr>
              <w:spacing w:after="10" w:before="0" w:line="228" w:lineRule="auto"/>
            </w:pPr>
            <w:r>
              <w:rPr>
                <w:b/>
                <w:sz w:val="16"/>
              </w:rPr>
              <w:t xml:space="preserve">Why: </w:t>
            </w:r>
            <w:r>
              <w:rPr>
                <w:sz w:val="16"/>
              </w:rPr>
              <w:t>The role-chosen dashboard and the invariant from §2.5</w:t>
            </w:r>
          </w:p>
          <w:p>
            <w:pPr>
              <w:spacing w:before="0" w:after="20"/>
            </w:pPr>
            <w:r>
              <w:rPr>
                <w:i/>
                <w:color w:val="666666"/>
                <w:sz w:val="14"/>
              </w:rPr>
              <w:t>The warehouse dashboard</w:t>
            </w:r>
          </w:p>
        </w:tc>
      </w:tr>
    </w:tbl>
    <w:p>
      <w:pPr>
        <w:spacing w:after="40" w:before="0"/>
      </w:pPr>
    </w:p>
    <w:p>
      <w:r>
        <w:rPr>
          <w:b/>
          <w:sz w:val="20"/>
        </w:rPr>
        <w:t>SS-19 — Stock levels and the low-stock report.</w:t>
      </w:r>
    </w:p>
    <w:tbl>
      <w:tblPr>
        <w:tblW w:type="auto" w:w="0"/>
        <w:tblLayout w:type="fixed"/>
        <w:tblLook w:firstColumn="1" w:firstRow="1" w:lastColumn="0" w:lastRow="0" w:noHBand="0" w:noVBand="1" w:val="04A0"/>
      </w:tblPr>
      <w:tblGrid>
        <w:gridCol w:w="4968"/>
        <w:gridCol w:w="4968"/>
      </w:tblGrid>
      <w:tr>
        <w:tc>
          <w:tcPr>
            <w:tcW w:type="dxa" w:w="4824"/>
          </w:tcPr>
          <w:p>
            <w:pPr>
              <w:spacing w:before="20" w:after="20"/>
              <w:jc w:val="center"/>
            </w:pPr>
            <w:r>
              <w:drawing>
                <wp:inline xmlns:a="http://schemas.openxmlformats.org/drawingml/2006/main" xmlns:pic="http://schemas.openxmlformats.org/drawingml/2006/picture">
                  <wp:extent cx="2706624" cy="1691640"/>
                  <wp:docPr id="19" name="Picture 19"/>
                  <wp:cNvGraphicFramePr>
                    <a:graphicFrameLocks noChangeAspect="1"/>
                  </wp:cNvGraphicFramePr>
                  <a:graphic>
                    <a:graphicData uri="http://schemas.openxmlformats.org/drawingml/2006/picture">
                      <pic:pic>
                        <pic:nvPicPr>
                          <pic:cNvPr id="0" name="SS-19-inventory-low-stock.png"/>
                          <pic:cNvPicPr/>
                        </pic:nvPicPr>
                        <pic:blipFill>
                          <a:blip r:embed="rId27"/>
                          <a:stretch>
                            <a:fillRect/>
                          </a:stretch>
                        </pic:blipFill>
                        <pic:spPr>
                          <a:xfrm>
                            <a:off x="0" y="0"/>
                            <a:ext cx="2706624" cy="1691640"/>
                          </a:xfrm>
                          <a:prstGeom prst="rect"/>
                        </pic:spPr>
                      </pic:pic>
                    </a:graphicData>
                  </a:graphic>
                </wp:inline>
              </w:drawing>
            </w:r>
          </w:p>
        </w:tc>
        <w:tc>
          <w:tcPr>
            <w:tcW w:type="dxa" w:w="4464"/>
          </w:tcPr>
          <w:p>
            <w:pPr>
              <w:spacing w:after="10" w:before="0" w:line="228" w:lineRule="auto"/>
            </w:pPr>
            <w:r>
              <w:rPr>
                <w:b/>
                <w:sz w:val="16"/>
              </w:rPr>
              <w:t xml:space="preserve">Tool: </w:t>
            </w:r>
            <w:r>
              <w:rPr>
                <w:sz w:val="16"/>
              </w:rPr>
              <w:t>App console</w:t>
            </w:r>
          </w:p>
          <w:p>
            <w:pPr>
              <w:spacing w:after="10" w:before="0" w:line="228" w:lineRule="auto"/>
            </w:pPr>
            <w:r>
              <w:rPr>
                <w:b/>
                <w:sz w:val="16"/>
              </w:rPr>
              <w:t xml:space="preserve">Where: </w:t>
            </w:r>
            <w:r>
              <w:rPr>
                <w:sz w:val="16"/>
              </w:rPr>
              <w:t>Inventory</w:t>
            </w:r>
          </w:p>
          <w:p>
            <w:pPr>
              <w:spacing w:after="10" w:before="0" w:line="228" w:lineRule="auto"/>
            </w:pPr>
            <w:r>
              <w:rPr>
                <w:b/>
                <w:sz w:val="16"/>
              </w:rPr>
              <w:t xml:space="preserve">Must show: </w:t>
            </w:r>
            <w:r>
              <w:rPr>
                <w:rFonts w:ascii="Consolas" w:hAnsi="Consolas" w:cs="Consolas"/>
                <w:sz w:val="15"/>
              </w:rPr>
              <w:t>on_hand − reserved</w:t>
            </w:r>
            <w:r>
              <w:rPr>
                <w:sz w:val="16"/>
              </w:rPr>
              <w:t xml:space="preserve"> as availability, with the reorder point</w:t>
            </w:r>
          </w:p>
          <w:p>
            <w:pPr>
              <w:spacing w:after="10" w:before="0" w:line="228" w:lineRule="auto"/>
            </w:pPr>
            <w:r>
              <w:rPr>
                <w:b/>
                <w:sz w:val="16"/>
              </w:rPr>
              <w:t xml:space="preserve">Why: </w:t>
            </w:r>
            <w:r>
              <w:rPr>
                <w:sz w:val="16"/>
              </w:rPr>
              <w:t>E3's low-stock rule and the §2.5 invariant</w:t>
            </w:r>
          </w:p>
          <w:p>
            <w:pPr>
              <w:spacing w:before="0" w:after="20"/>
            </w:pPr>
            <w:r>
              <w:rPr>
                <w:i/>
                <w:color w:val="666666"/>
                <w:sz w:val="14"/>
              </w:rPr>
              <w:t>Stock levels and the low-stock report</w:t>
            </w:r>
          </w:p>
        </w:tc>
      </w:tr>
    </w:tbl>
    <w:p>
      <w:pPr>
        <w:spacing w:after="40" w:before="0"/>
      </w:pPr>
    </w:p>
    <w:p>
      <w:r>
        <w:rPr>
          <w:b/>
          <w:sz w:val="20"/>
        </w:rPr>
        <w:t>SS-20 — The dispatch queue.</w:t>
      </w:r>
    </w:p>
    <w:tbl>
      <w:tblPr>
        <w:tblW w:type="auto" w:w="0"/>
        <w:tblLayout w:type="fixed"/>
        <w:tblLook w:firstColumn="1" w:firstRow="1" w:lastColumn="0" w:lastRow="0" w:noHBand="0" w:noVBand="1" w:val="04A0"/>
      </w:tblPr>
      <w:tblGrid>
        <w:gridCol w:w="4968"/>
        <w:gridCol w:w="4968"/>
      </w:tblGrid>
      <w:tr>
        <w:tc>
          <w:tcPr>
            <w:tcW w:type="dxa" w:w="4824"/>
          </w:tcPr>
          <w:p>
            <w:pPr>
              <w:spacing w:before="20" w:after="20"/>
              <w:jc w:val="center"/>
            </w:pPr>
            <w:r>
              <w:drawing>
                <wp:inline xmlns:a="http://schemas.openxmlformats.org/drawingml/2006/main" xmlns:pic="http://schemas.openxmlformats.org/drawingml/2006/picture">
                  <wp:extent cx="2706624" cy="1691640"/>
                  <wp:docPr id="20" name="Picture 20"/>
                  <wp:cNvGraphicFramePr>
                    <a:graphicFrameLocks noChangeAspect="1"/>
                  </wp:cNvGraphicFramePr>
                  <a:graphic>
                    <a:graphicData uri="http://schemas.openxmlformats.org/drawingml/2006/picture">
                      <pic:pic>
                        <pic:nvPicPr>
                          <pic:cNvPr id="0" name="SS-20-dispatch.png"/>
                          <pic:cNvPicPr/>
                        </pic:nvPicPr>
                        <pic:blipFill>
                          <a:blip r:embed="rId28"/>
                          <a:stretch>
                            <a:fillRect/>
                          </a:stretch>
                        </pic:blipFill>
                        <pic:spPr>
                          <a:xfrm>
                            <a:off x="0" y="0"/>
                            <a:ext cx="2706624" cy="1691640"/>
                          </a:xfrm>
                          <a:prstGeom prst="rect"/>
                        </pic:spPr>
                      </pic:pic>
                    </a:graphicData>
                  </a:graphic>
                </wp:inline>
              </w:drawing>
            </w:r>
          </w:p>
        </w:tc>
        <w:tc>
          <w:tcPr>
            <w:tcW w:type="dxa" w:w="4464"/>
          </w:tcPr>
          <w:p>
            <w:pPr>
              <w:spacing w:after="10" w:before="0" w:line="228" w:lineRule="auto"/>
            </w:pPr>
            <w:r>
              <w:rPr>
                <w:b/>
                <w:sz w:val="16"/>
              </w:rPr>
              <w:t xml:space="preserve">Tool: </w:t>
            </w:r>
            <w:r>
              <w:rPr>
                <w:sz w:val="16"/>
              </w:rPr>
              <w:t>App console</w:t>
            </w:r>
          </w:p>
          <w:p>
            <w:pPr>
              <w:spacing w:after="10" w:before="0" w:line="228" w:lineRule="auto"/>
            </w:pPr>
            <w:r>
              <w:rPr>
                <w:b/>
                <w:sz w:val="16"/>
              </w:rPr>
              <w:t xml:space="preserve">Where: </w:t>
            </w:r>
            <w:r>
              <w:rPr>
                <w:sz w:val="16"/>
              </w:rPr>
              <w:t>Shipments</w:t>
            </w:r>
          </w:p>
          <w:p>
            <w:pPr>
              <w:spacing w:after="10" w:before="0" w:line="228" w:lineRule="auto"/>
            </w:pPr>
            <w:r>
              <w:rPr>
                <w:b/>
                <w:sz w:val="16"/>
              </w:rPr>
              <w:t xml:space="preserve">Must show: </w:t>
            </w:r>
            <w:r>
              <w:rPr>
                <w:sz w:val="16"/>
              </w:rPr>
              <w:t xml:space="preserve">Orders in </w:t>
            </w:r>
            <w:r>
              <w:rPr>
                <w:rFonts w:ascii="Consolas" w:hAnsi="Consolas" w:cs="Consolas"/>
                <w:sz w:val="15"/>
              </w:rPr>
              <w:t>paid</w:t>
            </w:r>
            <w:r>
              <w:rPr>
                <w:sz w:val="16"/>
              </w:rPr>
              <w:t xml:space="preserve"> or </w:t>
            </w:r>
            <w:r>
              <w:rPr>
                <w:rFonts w:ascii="Consolas" w:hAnsi="Consolas" w:cs="Consolas"/>
                <w:sz w:val="15"/>
              </w:rPr>
              <w:t>picking</w:t>
            </w:r>
            <w:r>
              <w:rPr>
                <w:sz w:val="16"/>
              </w:rPr>
              <w:t>, oldest first, with the shipment events</w:t>
            </w:r>
          </w:p>
          <w:p>
            <w:pPr>
              <w:spacing w:after="10" w:before="0" w:line="228" w:lineRule="auto"/>
            </w:pPr>
            <w:r>
              <w:rPr>
                <w:b/>
                <w:sz w:val="16"/>
              </w:rPr>
              <w:t xml:space="preserve">Why: </w:t>
            </w:r>
            <w:r>
              <w:rPr>
                <w:sz w:val="16"/>
              </w:rPr>
              <w:t xml:space="preserve">The new </w:t>
            </w:r>
            <w:r>
              <w:rPr>
                <w:rFonts w:ascii="Consolas" w:hAnsi="Consolas" w:cs="Consolas"/>
                <w:sz w:val="15"/>
              </w:rPr>
              <w:t>GET /fulfilment/dispatch-queue</w:t>
            </w:r>
            <w:r>
              <w:rPr>
                <w:sz w:val="16"/>
              </w:rPr>
              <w:t xml:space="preserve"> added to satisfy SCRUM-42 (§2.2)</w:t>
            </w:r>
          </w:p>
          <w:p>
            <w:pPr>
              <w:spacing w:before="0" w:after="20"/>
            </w:pPr>
            <w:r>
              <w:rPr>
                <w:i/>
                <w:color w:val="666666"/>
                <w:sz w:val="14"/>
              </w:rPr>
              <w:t>The dispatch queue</w:t>
            </w:r>
          </w:p>
        </w:tc>
      </w:tr>
    </w:tbl>
    <w:p>
      <w:pPr>
        <w:spacing w:after="40" w:before="0"/>
      </w:pPr>
    </w:p>
    <w:p>
      <w:pPr>
        <w:keepNext/>
        <w:spacing w:before="100" w:after="40"/>
      </w:pPr>
      <w:r>
        <w:rPr>
          <w:b/>
          <w:color w:val="2E5496"/>
          <w:sz w:val="20"/>
        </w:rPr>
        <w:t>§5.4 A finance view</w:t>
      </w:r>
    </w:p>
    <w:p>
      <w:r>
        <w:rPr>
          <w:b/>
          <w:sz w:val="20"/>
        </w:rPr>
        <w:t>SS-21 — Reconciliation.</w:t>
      </w:r>
    </w:p>
    <w:tbl>
      <w:tblPr>
        <w:tblW w:type="auto" w:w="0"/>
        <w:tblLayout w:type="fixed"/>
        <w:tblLook w:firstColumn="1" w:firstRow="1" w:lastColumn="0" w:lastRow="0" w:noHBand="0" w:noVBand="1" w:val="04A0"/>
      </w:tblPr>
      <w:tblGrid>
        <w:gridCol w:w="4968"/>
        <w:gridCol w:w="4968"/>
      </w:tblGrid>
      <w:tr>
        <w:tc>
          <w:tcPr>
            <w:tcW w:type="dxa" w:w="4824"/>
          </w:tcPr>
          <w:p>
            <w:pPr>
              <w:spacing w:before="20" w:after="20"/>
              <w:jc w:val="center"/>
            </w:pPr>
            <w:r>
              <w:drawing>
                <wp:inline xmlns:a="http://schemas.openxmlformats.org/drawingml/2006/main" xmlns:pic="http://schemas.openxmlformats.org/drawingml/2006/picture">
                  <wp:extent cx="2706624" cy="1691640"/>
                  <wp:docPr id="21" name="Picture 21"/>
                  <wp:cNvGraphicFramePr>
                    <a:graphicFrameLocks noChangeAspect="1"/>
                  </wp:cNvGraphicFramePr>
                  <a:graphic>
                    <a:graphicData uri="http://schemas.openxmlformats.org/drawingml/2006/picture">
                      <pic:pic>
                        <pic:nvPicPr>
                          <pic:cNvPr id="0" name="SS-21-reconciliation.png"/>
                          <pic:cNvPicPr/>
                        </pic:nvPicPr>
                        <pic:blipFill>
                          <a:blip r:embed="rId29"/>
                          <a:stretch>
                            <a:fillRect/>
                          </a:stretch>
                        </pic:blipFill>
                        <pic:spPr>
                          <a:xfrm>
                            <a:off x="0" y="0"/>
                            <a:ext cx="2706624" cy="1691640"/>
                          </a:xfrm>
                          <a:prstGeom prst="rect"/>
                        </pic:spPr>
                      </pic:pic>
                    </a:graphicData>
                  </a:graphic>
                </wp:inline>
              </w:drawing>
            </w:r>
          </w:p>
        </w:tc>
        <w:tc>
          <w:tcPr>
            <w:tcW w:type="dxa" w:w="4464"/>
          </w:tcPr>
          <w:p>
            <w:pPr>
              <w:spacing w:after="10" w:before="0" w:line="228" w:lineRule="auto"/>
            </w:pPr>
            <w:r>
              <w:rPr>
                <w:b/>
                <w:sz w:val="16"/>
              </w:rPr>
              <w:t xml:space="preserve">Tool: </w:t>
            </w:r>
            <w:r>
              <w:rPr>
                <w:sz w:val="16"/>
              </w:rPr>
              <w:t>App console</w:t>
            </w:r>
          </w:p>
          <w:p>
            <w:pPr>
              <w:spacing w:after="10" w:before="0" w:line="228" w:lineRule="auto"/>
            </w:pPr>
            <w:r>
              <w:rPr>
                <w:b/>
                <w:sz w:val="16"/>
              </w:rPr>
              <w:t xml:space="preserve">Where: </w:t>
            </w:r>
            <w:r>
              <w:rPr>
                <w:sz w:val="16"/>
              </w:rPr>
              <w:t>Sign in as finance → Payments</w:t>
            </w:r>
          </w:p>
          <w:p>
            <w:pPr>
              <w:spacing w:after="10" w:before="0" w:line="228" w:lineRule="auto"/>
            </w:pPr>
            <w:r>
              <w:rPr>
                <w:b/>
                <w:sz w:val="16"/>
              </w:rPr>
              <w:t xml:space="preserve">Must show: </w:t>
            </w:r>
            <w:r>
              <w:rPr>
                <w:sz w:val="16"/>
              </w:rPr>
              <w:t>Gross captured, refunded and net settled, and the identity the API asserts</w:t>
            </w:r>
          </w:p>
          <w:p>
            <w:pPr>
              <w:spacing w:after="10" w:before="0" w:line="228" w:lineRule="auto"/>
            </w:pPr>
            <w:r>
              <w:rPr>
                <w:b/>
                <w:sz w:val="16"/>
              </w:rPr>
              <w:t xml:space="preserve">Why: </w:t>
            </w:r>
            <w:r>
              <w:rPr>
                <w:sz w:val="16"/>
              </w:rPr>
              <w:t>The reconciliation identity from §2.5, asserted server-side so a mismatch fails the request</w:t>
            </w:r>
          </w:p>
          <w:p>
            <w:pPr>
              <w:spacing w:before="0" w:after="20"/>
            </w:pPr>
            <w:r>
              <w:rPr>
                <w:i/>
                <w:color w:val="666666"/>
                <w:sz w:val="14"/>
              </w:rPr>
              <w:t>Finance reconciliation</w:t>
            </w:r>
          </w:p>
        </w:tc>
      </w:tr>
    </w:tbl>
    <w:p>
      <w:pPr>
        <w:spacing w:after="40" w:before="0"/>
      </w:pPr>
    </w:p>
    <w:p>
      <w:pPr>
        <w:keepNext/>
        <w:spacing w:before="100" w:after="40"/>
      </w:pPr>
      <w:r>
        <w:rPr>
          <w:b/>
          <w:color w:val="2E5496"/>
          <w:sz w:val="20"/>
        </w:rPr>
        <w:t>§5.5 Returns and admin</w:t>
      </w:r>
    </w:p>
    <w:p>
      <w:r>
        <w:rPr>
          <w:b/>
          <w:sz w:val="20"/>
        </w:rPr>
        <w:t>SS-22 — The returns board.</w:t>
      </w:r>
    </w:p>
    <w:tbl>
      <w:tblPr>
        <w:tblW w:type="auto" w:w="0"/>
        <w:tblLayout w:type="fixed"/>
        <w:tblLook w:firstColumn="1" w:firstRow="1" w:lastColumn="0" w:lastRow="0" w:noHBand="0" w:noVBand="1" w:val="04A0"/>
      </w:tblPr>
      <w:tblGrid>
        <w:gridCol w:w="4968"/>
        <w:gridCol w:w="4968"/>
      </w:tblGrid>
      <w:tr>
        <w:tc>
          <w:tcPr>
            <w:tcW w:type="dxa" w:w="4824"/>
          </w:tcPr>
          <w:p>
            <w:pPr>
              <w:spacing w:before="20" w:after="20"/>
              <w:jc w:val="center"/>
            </w:pPr>
            <w:r>
              <w:drawing>
                <wp:inline xmlns:a="http://schemas.openxmlformats.org/drawingml/2006/main" xmlns:pic="http://schemas.openxmlformats.org/drawingml/2006/picture">
                  <wp:extent cx="2706624" cy="1691640"/>
                  <wp:docPr id="22" name="Picture 22"/>
                  <wp:cNvGraphicFramePr>
                    <a:graphicFrameLocks noChangeAspect="1"/>
                  </wp:cNvGraphicFramePr>
                  <a:graphic>
                    <a:graphicData uri="http://schemas.openxmlformats.org/drawingml/2006/picture">
                      <pic:pic>
                        <pic:nvPicPr>
                          <pic:cNvPr id="0" name="SS-22-returns-lifecycle.png"/>
                          <pic:cNvPicPr/>
                        </pic:nvPicPr>
                        <pic:blipFill>
                          <a:blip r:embed="rId30"/>
                          <a:stretch>
                            <a:fillRect/>
                          </a:stretch>
                        </pic:blipFill>
                        <pic:spPr>
                          <a:xfrm>
                            <a:off x="0" y="0"/>
                            <a:ext cx="2706624" cy="1691640"/>
                          </a:xfrm>
                          <a:prstGeom prst="rect"/>
                        </pic:spPr>
                      </pic:pic>
                    </a:graphicData>
                  </a:graphic>
                </wp:inline>
              </w:drawing>
            </w:r>
          </w:p>
        </w:tc>
        <w:tc>
          <w:tcPr>
            <w:tcW w:type="dxa" w:w="4464"/>
          </w:tcPr>
          <w:p>
            <w:pPr>
              <w:spacing w:after="10" w:before="0" w:line="228" w:lineRule="auto"/>
            </w:pPr>
            <w:r>
              <w:rPr>
                <w:b/>
                <w:sz w:val="16"/>
              </w:rPr>
              <w:t xml:space="preserve">Tool: </w:t>
            </w:r>
            <w:r>
              <w:rPr>
                <w:sz w:val="16"/>
              </w:rPr>
              <w:t>App console</w:t>
            </w:r>
          </w:p>
          <w:p>
            <w:pPr>
              <w:spacing w:after="10" w:before="0" w:line="228" w:lineRule="auto"/>
            </w:pPr>
            <w:r>
              <w:rPr>
                <w:b/>
                <w:sz w:val="16"/>
              </w:rPr>
              <w:t xml:space="preserve">Where: </w:t>
            </w:r>
            <w:r>
              <w:rPr>
                <w:sz w:val="16"/>
              </w:rPr>
              <w:t>Returns</w:t>
            </w:r>
          </w:p>
          <w:p>
            <w:pPr>
              <w:spacing w:after="10" w:before="0" w:line="228" w:lineRule="auto"/>
            </w:pPr>
            <w:r>
              <w:rPr>
                <w:b/>
                <w:sz w:val="16"/>
              </w:rPr>
              <w:t xml:space="preserve">Must show: </w:t>
            </w:r>
            <w:r>
              <w:rPr>
                <w:sz w:val="16"/>
              </w:rPr>
              <w:t xml:space="preserve">Each return with its legal next state, including </w:t>
            </w:r>
            <w:r>
              <w:rPr>
                <w:rFonts w:ascii="Consolas" w:hAnsi="Consolas" w:cs="Consolas"/>
                <w:sz w:val="15"/>
              </w:rPr>
              <w:t>in_transit</w:t>
            </w:r>
          </w:p>
          <w:p>
            <w:pPr>
              <w:spacing w:after="10" w:before="0" w:line="228" w:lineRule="auto"/>
            </w:pPr>
            <w:r>
              <w:rPr>
                <w:b/>
                <w:sz w:val="16"/>
              </w:rPr>
              <w:t xml:space="preserve">Why: </w:t>
            </w:r>
            <w:r>
              <w:rPr>
                <w:sz w:val="16"/>
              </w:rPr>
              <w:t>The closed return sequence from §2.7, with the step added for SCRUM-41</w:t>
            </w:r>
          </w:p>
          <w:p>
            <w:pPr>
              <w:spacing w:before="0" w:after="20"/>
            </w:pPr>
            <w:r>
              <w:rPr>
                <w:i/>
                <w:color w:val="666666"/>
                <w:sz w:val="14"/>
              </w:rPr>
              <w:t>The returns board with legal next states</w:t>
            </w:r>
          </w:p>
        </w:tc>
      </w:tr>
    </w:tbl>
    <w:p>
      <w:pPr>
        <w:spacing w:after="40" w:before="0"/>
      </w:pPr>
    </w:p>
    <w:p>
      <w:r>
        <w:rPr>
          <w:b/>
          <w:sz w:val="20"/>
        </w:rPr>
        <w:t>SS-23 — Users and the audit ledger.</w:t>
      </w:r>
    </w:p>
    <w:tbl>
      <w:tblPr>
        <w:tblW w:type="auto" w:w="0"/>
        <w:tblLayout w:type="fixed"/>
        <w:tblLook w:firstColumn="1" w:firstRow="1" w:lastColumn="0" w:lastRow="0" w:noHBand="0" w:noVBand="1" w:val="04A0"/>
      </w:tblPr>
      <w:tblGrid>
        <w:gridCol w:w="4968"/>
        <w:gridCol w:w="4968"/>
      </w:tblGrid>
      <w:tr>
        <w:tc>
          <w:tcPr>
            <w:tcW w:type="dxa" w:w="4824"/>
          </w:tcPr>
          <w:p>
            <w:pPr>
              <w:spacing w:before="20" w:after="20"/>
              <w:jc w:val="center"/>
            </w:pPr>
            <w:r>
              <w:drawing>
                <wp:inline xmlns:a="http://schemas.openxmlformats.org/drawingml/2006/main" xmlns:pic="http://schemas.openxmlformats.org/drawingml/2006/picture">
                  <wp:extent cx="2706624" cy="1691640"/>
                  <wp:docPr id="23" name="Picture 23"/>
                  <wp:cNvGraphicFramePr>
                    <a:graphicFrameLocks noChangeAspect="1"/>
                  </wp:cNvGraphicFramePr>
                  <a:graphic>
                    <a:graphicData uri="http://schemas.openxmlformats.org/drawingml/2006/picture">
                      <pic:pic>
                        <pic:nvPicPr>
                          <pic:cNvPr id="0" name="SS-23-users-and-audit.png"/>
                          <pic:cNvPicPr/>
                        </pic:nvPicPr>
                        <pic:blipFill>
                          <a:blip r:embed="rId31"/>
                          <a:stretch>
                            <a:fillRect/>
                          </a:stretch>
                        </pic:blipFill>
                        <pic:spPr>
                          <a:xfrm>
                            <a:off x="0" y="0"/>
                            <a:ext cx="2706624" cy="1691640"/>
                          </a:xfrm>
                          <a:prstGeom prst="rect"/>
                        </pic:spPr>
                      </pic:pic>
                    </a:graphicData>
                  </a:graphic>
                </wp:inline>
              </w:drawing>
            </w:r>
          </w:p>
        </w:tc>
        <w:tc>
          <w:tcPr>
            <w:tcW w:type="dxa" w:w="4464"/>
          </w:tcPr>
          <w:p>
            <w:pPr>
              <w:spacing w:after="10" w:before="0" w:line="228" w:lineRule="auto"/>
            </w:pPr>
            <w:r>
              <w:rPr>
                <w:b/>
                <w:sz w:val="16"/>
              </w:rPr>
              <w:t xml:space="preserve">Tool: </w:t>
            </w:r>
            <w:r>
              <w:rPr>
                <w:sz w:val="16"/>
              </w:rPr>
              <w:t>App console</w:t>
            </w:r>
          </w:p>
          <w:p>
            <w:pPr>
              <w:spacing w:after="10" w:before="0" w:line="228" w:lineRule="auto"/>
            </w:pPr>
            <w:r>
              <w:rPr>
                <w:b/>
                <w:sz w:val="16"/>
              </w:rPr>
              <w:t xml:space="preserve">Where: </w:t>
            </w:r>
            <w:r>
              <w:rPr>
                <w:sz w:val="16"/>
              </w:rPr>
              <w:t>Sign in as admin</w:t>
            </w:r>
          </w:p>
          <w:p>
            <w:pPr>
              <w:spacing w:after="10" w:before="0" w:line="228" w:lineRule="auto"/>
            </w:pPr>
            <w:r>
              <w:rPr>
                <w:b/>
                <w:sz w:val="16"/>
              </w:rPr>
              <w:t xml:space="preserve">Must show: </w:t>
            </w:r>
            <w:r>
              <w:rPr>
                <w:sz w:val="16"/>
              </w:rPr>
              <w:t>Provisioned staff accounts and the append-only audit ledger</w:t>
            </w:r>
          </w:p>
          <w:p>
            <w:pPr>
              <w:spacing w:after="10" w:before="0" w:line="228" w:lineRule="auto"/>
            </w:pPr>
            <w:r>
              <w:rPr>
                <w:b/>
                <w:sz w:val="16"/>
              </w:rPr>
              <w:t xml:space="preserve">Why: </w:t>
            </w:r>
            <w:r>
              <w:rPr>
                <w:sz w:val="16"/>
              </w:rPr>
              <w:t>The audit invariant from §2.5 and the role scoping from §2.9</w:t>
            </w:r>
          </w:p>
          <w:p>
            <w:pPr>
              <w:spacing w:before="0" w:after="20"/>
            </w:pPr>
            <w:r>
              <w:rPr>
                <w:i/>
                <w:color w:val="666666"/>
                <w:sz w:val="14"/>
              </w:rPr>
              <w:t>Admin users and the audit ledger</w:t>
            </w:r>
          </w:p>
        </w:tc>
      </w:tr>
    </w:tbl>
    <w:p>
      <w:pPr>
        <w:spacing w:after="40" w:before="0"/>
      </w:pPr>
    </w:p>
    <w:p>
      <w:pPr>
        <w:spacing w:before="80" w:after="80"/>
        <w:pBdr>
          <w:bottom w:val="single" w:sz="6" w:space="1" w:color="BBBBBB"/>
        </w:pBdr>
      </w:pPr>
    </w:p>
    <w:p>
      <w:pPr>
        <w:keepNext/>
        <w:spacing w:before="140" w:after="40"/>
      </w:pPr>
      <w:r>
        <w:rPr>
          <w:b/>
          <w:color w:val="2E5496"/>
          <w:sz w:val="22"/>
        </w:rPr>
        <w:t>6. Code outputs</w:t>
      </w:r>
    </w:p>
    <w:p>
      <w:r>
        <w:rPr>
          <w:sz w:val="20"/>
        </w:rPr>
        <w:t>These are the real outputs of the real commands, captured byte for byte and wrapped in a terminal-styled page. Each screenshot carries the exact command, and the same output is reproduced verbatim as a code block where it is short enough to be worth reading as text. If an image and its code block ever disagree, the code block is the one to believe.</w:t>
      </w:r>
    </w:p>
    <w:p>
      <w:pPr>
        <w:keepNext/>
        <w:spacing w:before="100" w:after="40"/>
      </w:pPr>
      <w:r>
        <w:rPr>
          <w:b/>
          <w:color w:val="2E5496"/>
          <w:sz w:val="20"/>
        </w:rPr>
        <w:t>§6.1 The acceptance suite</w:t>
      </w:r>
    </w:p>
    <w:p>
      <w:r>
        <w:rPr>
          <w:b/>
          <w:sz w:val="20"/>
        </w:rPr>
        <w:t>SS-24 — npm test.</w:t>
      </w:r>
    </w:p>
    <w:tbl>
      <w:tblPr>
        <w:tblW w:type="auto" w:w="0"/>
        <w:tblLayout w:type="fixed"/>
        <w:tblLook w:firstColumn="1" w:firstRow="1" w:lastColumn="0" w:lastRow="0" w:noHBand="0" w:noVBand="1" w:val="04A0"/>
      </w:tblPr>
      <w:tblGrid>
        <w:gridCol w:w="4968"/>
        <w:gridCol w:w="4968"/>
      </w:tblGrid>
      <w:tr>
        <w:tc>
          <w:tcPr>
            <w:tcW w:type="dxa" w:w="4824"/>
          </w:tcPr>
          <w:p>
            <w:pPr>
              <w:spacing w:before="20" w:after="20"/>
              <w:jc w:val="center"/>
            </w:pPr>
            <w:r>
              <w:drawing>
                <wp:inline xmlns:a="http://schemas.openxmlformats.org/drawingml/2006/main" xmlns:pic="http://schemas.openxmlformats.org/drawingml/2006/picture">
                  <wp:extent cx="2880360" cy="925830"/>
                  <wp:docPr id="24" name="Picture 24"/>
                  <wp:cNvGraphicFramePr>
                    <a:graphicFrameLocks noChangeAspect="1"/>
                  </wp:cNvGraphicFramePr>
                  <a:graphic>
                    <a:graphicData uri="http://schemas.openxmlformats.org/drawingml/2006/picture">
                      <pic:pic>
                        <pic:nvPicPr>
                          <pic:cNvPr id="0" name="SS-24-npm-test.png"/>
                          <pic:cNvPicPr/>
                        </pic:nvPicPr>
                        <pic:blipFill>
                          <a:blip r:embed="rId32"/>
                          <a:stretch>
                            <a:fillRect/>
                          </a:stretch>
                        </pic:blipFill>
                        <pic:spPr>
                          <a:xfrm>
                            <a:off x="0" y="0"/>
                            <a:ext cx="2880360" cy="925830"/>
                          </a:xfrm>
                          <a:prstGeom prst="rect"/>
                        </pic:spPr>
                      </pic:pic>
                    </a:graphicData>
                  </a:graphic>
                </wp:inline>
              </w:drawing>
            </w:r>
          </w:p>
        </w:tc>
        <w:tc>
          <w:tcPr>
            <w:tcW w:type="dxa" w:w="4464"/>
          </w:tcPr>
          <w:p>
            <w:pPr>
              <w:spacing w:after="10" w:before="0" w:line="228" w:lineRule="auto"/>
            </w:pPr>
            <w:r>
              <w:rPr>
                <w:b/>
                <w:sz w:val="16"/>
              </w:rPr>
              <w:t xml:space="preserve">Tool: </w:t>
            </w:r>
            <w:r>
              <w:rPr>
                <w:sz w:val="16"/>
              </w:rPr>
              <w:t>Terminal (Node test runner)</w:t>
            </w:r>
          </w:p>
          <w:p>
            <w:pPr>
              <w:spacing w:after="10" w:before="0" w:line="228" w:lineRule="auto"/>
            </w:pPr>
            <w:r>
              <w:rPr>
                <w:b/>
                <w:sz w:val="16"/>
              </w:rPr>
              <w:t xml:space="preserve">Where: </w:t>
            </w:r>
            <w:r>
              <w:rPr>
                <w:rFonts w:ascii="Consolas" w:hAnsi="Consolas" w:cs="Consolas"/>
                <w:sz w:val="15"/>
              </w:rPr>
              <w:t>cd app &amp;&amp; npm test</w:t>
            </w:r>
          </w:p>
          <w:p>
            <w:pPr>
              <w:spacing w:after="10" w:before="0" w:line="228" w:lineRule="auto"/>
            </w:pPr>
            <w:r>
              <w:rPr>
                <w:b/>
                <w:sz w:val="16"/>
              </w:rPr>
              <w:t xml:space="preserve">Must show: </w:t>
            </w:r>
            <w:r>
              <w:rPr>
                <w:b/>
                <w:sz w:val="16"/>
              </w:rPr>
              <w:t>78 acceptance tests across 8 suites, all passing</w:t>
            </w:r>
          </w:p>
          <w:p>
            <w:pPr>
              <w:spacing w:after="10" w:before="0" w:line="228" w:lineRule="auto"/>
            </w:pPr>
            <w:r>
              <w:rPr>
                <w:b/>
                <w:sz w:val="16"/>
              </w:rPr>
              <w:t xml:space="preserve">Why: </w:t>
            </w:r>
            <w:r>
              <w:rPr>
                <w:sz w:val="16"/>
              </w:rPr>
              <w:t>The Definition of Done from §2.2: every acceptance criterion is a passing test</w:t>
            </w:r>
          </w:p>
          <w:p>
            <w:pPr>
              <w:spacing w:before="0" w:after="20"/>
            </w:pPr>
            <w:r>
              <w:rPr>
                <w:i/>
                <w:color w:val="666666"/>
                <w:sz w:val="14"/>
              </w:rPr>
              <w:t>npm test — 78 acceptance tests across 8 suites</w:t>
            </w:r>
          </w:p>
        </w:tc>
      </w:tr>
    </w:tbl>
    <w:p>
      <w:pPr>
        <w:spacing w:after="40" w:before="0"/>
      </w:pPr>
    </w:p>
    <w:p>
      <w:pPr>
        <w:keepNext/>
        <w:spacing w:before="100" w:after="40"/>
      </w:pPr>
      <w:r>
        <w:rPr>
          <w:b/>
          <w:color w:val="2E5496"/>
          <w:sz w:val="20"/>
        </w:rPr>
        <w:t>§6.2 The API's self-description</w:t>
      </w:r>
    </w:p>
    <w:p>
      <w:r>
        <w:rPr>
          <w:b/>
          <w:sz w:val="20"/>
        </w:rPr>
        <w:t>SS-25 — GET /api/v1/meta.</w:t>
      </w:r>
    </w:p>
    <w:tbl>
      <w:tblPr>
        <w:tblW w:type="auto" w:w="0"/>
        <w:tblLayout w:type="fixed"/>
        <w:tblLook w:firstColumn="1" w:firstRow="1" w:lastColumn="0" w:lastRow="0" w:noHBand="0" w:noVBand="1" w:val="04A0"/>
      </w:tblPr>
      <w:tblGrid>
        <w:gridCol w:w="4968"/>
        <w:gridCol w:w="4968"/>
      </w:tblGrid>
      <w:tr>
        <w:tc>
          <w:tcPr>
            <w:tcW w:type="dxa" w:w="4824"/>
          </w:tcPr>
          <w:p>
            <w:pPr>
              <w:spacing w:before="20" w:after="20"/>
              <w:jc w:val="center"/>
            </w:pPr>
            <w:r>
              <w:drawing>
                <wp:inline xmlns:a="http://schemas.openxmlformats.org/drawingml/2006/main" xmlns:pic="http://schemas.openxmlformats.org/drawingml/2006/picture">
                  <wp:extent cx="2880360" cy="966977"/>
                  <wp:docPr id="25" name="Picture 25"/>
                  <wp:cNvGraphicFramePr>
                    <a:graphicFrameLocks noChangeAspect="1"/>
                  </wp:cNvGraphicFramePr>
                  <a:graphic>
                    <a:graphicData uri="http://schemas.openxmlformats.org/drawingml/2006/picture">
                      <pic:pic>
                        <pic:nvPicPr>
                          <pic:cNvPr id="0" name="SS-25-api-meta.png"/>
                          <pic:cNvPicPr/>
                        </pic:nvPicPr>
                        <pic:blipFill>
                          <a:blip r:embed="rId33"/>
                          <a:stretch>
                            <a:fillRect/>
                          </a:stretch>
                        </pic:blipFill>
                        <pic:spPr>
                          <a:xfrm>
                            <a:off x="0" y="0"/>
                            <a:ext cx="2880360" cy="966977"/>
                          </a:xfrm>
                          <a:prstGeom prst="rect"/>
                        </pic:spPr>
                      </pic:pic>
                    </a:graphicData>
                  </a:graphic>
                </wp:inline>
              </w:drawing>
            </w:r>
          </w:p>
        </w:tc>
        <w:tc>
          <w:tcPr>
            <w:tcW w:type="dxa" w:w="4464"/>
          </w:tcPr>
          <w:p>
            <w:pPr>
              <w:spacing w:after="10" w:before="0" w:line="228" w:lineRule="auto"/>
            </w:pPr>
            <w:r>
              <w:rPr>
                <w:b/>
                <w:sz w:val="16"/>
              </w:rPr>
              <w:t xml:space="preserve">Tool: </w:t>
            </w:r>
            <w:r>
              <w:rPr>
                <w:sz w:val="16"/>
              </w:rPr>
              <w:t>HTTP</w:t>
            </w:r>
          </w:p>
          <w:p>
            <w:pPr>
              <w:spacing w:after="10" w:before="0" w:line="228" w:lineRule="auto"/>
            </w:pPr>
            <w:r>
              <w:rPr>
                <w:b/>
                <w:sz w:val="16"/>
              </w:rPr>
              <w:t xml:space="preserve">Where: </w:t>
            </w:r>
            <w:r>
              <w:rPr>
                <w:rFonts w:ascii="Consolas" w:hAnsi="Consolas" w:cs="Consolas"/>
                <w:sz w:val="15"/>
              </w:rPr>
              <w:t>curl http://127.0.0.1:3010/api/v1/meta</w:t>
            </w:r>
          </w:p>
          <w:p>
            <w:pPr>
              <w:spacing w:after="10" w:before="0" w:line="228" w:lineRule="auto"/>
            </w:pPr>
            <w:r>
              <w:rPr>
                <w:b/>
                <w:sz w:val="16"/>
              </w:rPr>
              <w:t xml:space="preserve">Must show: </w:t>
            </w:r>
            <w:r>
              <w:rPr>
                <w:sz w:val="16"/>
              </w:rPr>
              <w:t>The service name, integer-paise money, six roles, 51 endpoints, 18 tables</w:t>
            </w:r>
          </w:p>
          <w:p>
            <w:pPr>
              <w:spacing w:after="10" w:before="0" w:line="228" w:lineRule="auto"/>
            </w:pPr>
            <w:r>
              <w:rPr>
                <w:b/>
                <w:sz w:val="16"/>
              </w:rPr>
              <w:t xml:space="preserve">Why: </w:t>
            </w:r>
            <w:r>
              <w:rPr>
                <w:sz w:val="16"/>
              </w:rPr>
              <w:t>The machine-readable shape of §1, and the contract the CI job asserts</w:t>
            </w:r>
          </w:p>
          <w:p>
            <w:pPr>
              <w:spacing w:before="0" w:after="20"/>
            </w:pPr>
            <w:r>
              <w:rPr>
                <w:i/>
                <w:color w:val="666666"/>
                <w:sz w:val="14"/>
              </w:rPr>
              <w:t>The API describing itself</w:t>
            </w:r>
          </w:p>
        </w:tc>
      </w:tr>
    </w:tbl>
    <w:p>
      <w:pPr>
        <w:spacing w:after="40" w:before="0"/>
      </w:pPr>
    </w:p>
    <w:p>
      <w:pPr>
        <w:keepNext/>
        <w:spacing w:before="100" w:after="40"/>
      </w:pPr>
      <w:r>
        <w:rPr>
          <w:b/>
          <w:color w:val="2E5496"/>
          <w:sz w:val="20"/>
        </w:rPr>
        <w:t>§6.3 The console client's self-check</w:t>
      </w:r>
    </w:p>
    <w:p>
      <w:r>
        <w:rPr>
          <w:b/>
          <w:sz w:val="20"/>
        </w:rPr>
        <w:t>SS-26 — node scripts/console-check.mjs.</w:t>
      </w:r>
    </w:p>
    <w:tbl>
      <w:tblPr>
        <w:tblW w:type="auto" w:w="0"/>
        <w:tblLayout w:type="fixed"/>
        <w:tblLook w:firstColumn="1" w:firstRow="1" w:lastColumn="0" w:lastRow="0" w:noHBand="0" w:noVBand="1" w:val="04A0"/>
      </w:tblPr>
      <w:tblGrid>
        <w:gridCol w:w="4968"/>
        <w:gridCol w:w="4968"/>
      </w:tblGrid>
      <w:tr>
        <w:tc>
          <w:tcPr>
            <w:tcW w:type="dxa" w:w="4824"/>
          </w:tcPr>
          <w:p>
            <w:pPr>
              <w:spacing w:before="20" w:after="20"/>
              <w:jc w:val="center"/>
            </w:pPr>
            <w:r>
              <w:drawing>
                <wp:inline xmlns:a="http://schemas.openxmlformats.org/drawingml/2006/main" xmlns:pic="http://schemas.openxmlformats.org/drawingml/2006/picture">
                  <wp:extent cx="1981837" cy="1691640"/>
                  <wp:docPr id="26" name="Picture 26"/>
                  <wp:cNvGraphicFramePr>
                    <a:graphicFrameLocks noChangeAspect="1"/>
                  </wp:cNvGraphicFramePr>
                  <a:graphic>
                    <a:graphicData uri="http://schemas.openxmlformats.org/drawingml/2006/picture">
                      <pic:pic>
                        <pic:nvPicPr>
                          <pic:cNvPr id="0" name="SS-26-console-check.png"/>
                          <pic:cNvPicPr/>
                        </pic:nvPicPr>
                        <pic:blipFill>
                          <a:blip r:embed="rId34"/>
                          <a:stretch>
                            <a:fillRect/>
                          </a:stretch>
                        </pic:blipFill>
                        <pic:spPr>
                          <a:xfrm>
                            <a:off x="0" y="0"/>
                            <a:ext cx="1981837" cy="1691640"/>
                          </a:xfrm>
                          <a:prstGeom prst="rect"/>
                        </pic:spPr>
                      </pic:pic>
                    </a:graphicData>
                  </a:graphic>
                </wp:inline>
              </w:drawing>
            </w:r>
          </w:p>
        </w:tc>
        <w:tc>
          <w:tcPr>
            <w:tcW w:type="dxa" w:w="4464"/>
          </w:tcPr>
          <w:p>
            <w:pPr>
              <w:spacing w:after="10" w:before="0" w:line="228" w:lineRule="auto"/>
            </w:pPr>
            <w:r>
              <w:rPr>
                <w:b/>
                <w:sz w:val="16"/>
              </w:rPr>
              <w:t xml:space="preserve">Tool: </w:t>
            </w:r>
            <w:r>
              <w:rPr>
                <w:sz w:val="16"/>
              </w:rPr>
              <w:t>Node</w:t>
            </w:r>
          </w:p>
          <w:p>
            <w:pPr>
              <w:spacing w:after="10" w:before="0" w:line="228" w:lineRule="auto"/>
            </w:pPr>
            <w:r>
              <w:rPr>
                <w:b/>
                <w:sz w:val="16"/>
              </w:rPr>
              <w:t xml:space="preserve">Where: </w:t>
            </w:r>
            <w:r>
              <w:rPr>
                <w:rFonts w:ascii="Consolas" w:hAnsi="Consolas" w:cs="Consolas"/>
                <w:sz w:val="15"/>
              </w:rPr>
              <w:t>node scripts/console-check.mjs</w:t>
            </w:r>
          </w:p>
          <w:p>
            <w:pPr>
              <w:spacing w:after="10" w:before="0" w:line="228" w:lineRule="auto"/>
            </w:pPr>
            <w:r>
              <w:rPr>
                <w:b/>
                <w:sz w:val="16"/>
              </w:rPr>
              <w:t xml:space="preserve">Must show: </w:t>
            </w:r>
            <w:r>
              <w:rPr>
                <w:sz w:val="16"/>
              </w:rPr>
              <w:t>The formatter and error-mapper checks, and the live API calls, all passing</w:t>
            </w:r>
          </w:p>
          <w:p>
            <w:pPr>
              <w:spacing w:after="10" w:before="0" w:line="228" w:lineRule="auto"/>
            </w:pPr>
            <w:r>
              <w:rPr>
                <w:b/>
                <w:sz w:val="16"/>
              </w:rPr>
              <w:t xml:space="preserve">Why: </w:t>
            </w:r>
            <w:r>
              <w:rPr>
                <w:sz w:val="16"/>
              </w:rPr>
              <w:t>The client half of §2.9 — error mapping — verified independently of the server suite</w:t>
            </w:r>
          </w:p>
          <w:p>
            <w:pPr>
              <w:spacing w:before="0" w:after="20"/>
            </w:pPr>
            <w:r>
              <w:rPr>
                <w:i/>
                <w:color w:val="666666"/>
                <w:sz w:val="14"/>
              </w:rPr>
              <w:t>The console contract check</w:t>
            </w:r>
          </w:p>
        </w:tc>
      </w:tr>
    </w:tbl>
    <w:p>
      <w:pPr>
        <w:spacing w:after="40" w:before="0"/>
      </w:pPr>
    </w:p>
    <w:p>
      <w:pPr>
        <w:keepNext/>
        <w:spacing w:before="100" w:after="40"/>
      </w:pPr>
      <w:r>
        <w:rPr>
          <w:b/>
          <w:color w:val="2E5496"/>
          <w:sz w:val="20"/>
        </w:rPr>
        <w:t>§6.4 The CI run for the pushed commit</w:t>
      </w:r>
    </w:p>
    <w:p>
      <w:r>
        <w:rPr>
          <w:b/>
          <w:sz w:val="20"/>
        </w:rPr>
        <w:t>SS-27 — the CI run.</w:t>
      </w:r>
    </w:p>
    <w:tbl>
      <w:tblPr>
        <w:tblW w:type="auto" w:w="0"/>
        <w:tblLayout w:type="fixed"/>
        <w:tblLook w:firstColumn="1" w:firstRow="1" w:lastColumn="0" w:lastRow="0" w:noHBand="0" w:noVBand="1" w:val="04A0"/>
      </w:tblPr>
      <w:tblGrid>
        <w:gridCol w:w="4968"/>
        <w:gridCol w:w="4968"/>
      </w:tblGrid>
      <w:tr>
        <w:tc>
          <w:tcPr>
            <w:tcW w:type="dxa" w:w="4824"/>
          </w:tcPr>
          <w:p>
            <w:pPr>
              <w:spacing w:before="20" w:after="20"/>
              <w:jc w:val="center"/>
            </w:pPr>
            <w:r>
              <w:drawing>
                <wp:inline xmlns:a="http://schemas.openxmlformats.org/drawingml/2006/main" xmlns:pic="http://schemas.openxmlformats.org/drawingml/2006/picture">
                  <wp:extent cx="2880360" cy="658368"/>
                  <wp:docPr id="27" name="Picture 27"/>
                  <wp:cNvGraphicFramePr>
                    <a:graphicFrameLocks noChangeAspect="1"/>
                  </wp:cNvGraphicFramePr>
                  <a:graphic>
                    <a:graphicData uri="http://schemas.openxmlformats.org/drawingml/2006/picture">
                      <pic:pic>
                        <pic:nvPicPr>
                          <pic:cNvPr id="0" name="SS-27-ci-run.png"/>
                          <pic:cNvPicPr/>
                        </pic:nvPicPr>
                        <pic:blipFill>
                          <a:blip r:embed="rId35"/>
                          <a:stretch>
                            <a:fillRect/>
                          </a:stretch>
                        </pic:blipFill>
                        <pic:spPr>
                          <a:xfrm>
                            <a:off x="0" y="0"/>
                            <a:ext cx="2880360" cy="658368"/>
                          </a:xfrm>
                          <a:prstGeom prst="rect"/>
                        </pic:spPr>
                      </pic:pic>
                    </a:graphicData>
                  </a:graphic>
                </wp:inline>
              </w:drawing>
            </w:r>
          </w:p>
        </w:tc>
        <w:tc>
          <w:tcPr>
            <w:tcW w:type="dxa" w:w="4464"/>
          </w:tcPr>
          <w:p>
            <w:pPr>
              <w:spacing w:after="10" w:before="0" w:line="228" w:lineRule="auto"/>
            </w:pPr>
            <w:r>
              <w:rPr>
                <w:b/>
                <w:sz w:val="16"/>
              </w:rPr>
              <w:t xml:space="preserve">Tool: </w:t>
            </w:r>
            <w:r>
              <w:rPr>
                <w:sz w:val="16"/>
              </w:rPr>
              <w:t>GitHub Actions</w:t>
            </w:r>
          </w:p>
          <w:p>
            <w:pPr>
              <w:spacing w:after="10" w:before="0" w:line="228" w:lineRule="auto"/>
            </w:pPr>
            <w:r>
              <w:rPr>
                <w:b/>
                <w:sz w:val="16"/>
              </w:rPr>
              <w:t xml:space="preserve">Where: </w:t>
            </w:r>
            <w:r>
              <w:rPr>
                <w:rFonts w:ascii="Consolas" w:hAnsi="Consolas" w:cs="Consolas"/>
                <w:sz w:val="15"/>
              </w:rPr>
              <w:t>gh run view</w:t>
            </w:r>
            <w:r>
              <w:rPr>
                <w:sz w:val="16"/>
              </w:rPr>
              <w:t xml:space="preserve"> for the push of </w:t>
            </w:r>
            <w:r>
              <w:rPr>
                <w:rFonts w:ascii="Consolas" w:hAnsi="Consolas" w:cs="Consolas"/>
                <w:sz w:val="15"/>
              </w:rPr>
              <w:t>deb5d0e</w:t>
            </w:r>
          </w:p>
          <w:p>
            <w:pPr>
              <w:spacing w:after="10" w:before="0" w:line="228" w:lineRule="auto"/>
            </w:pPr>
            <w:r>
              <w:rPr>
                <w:b/>
                <w:sz w:val="16"/>
              </w:rPr>
              <w:t xml:space="preserve">Must show: </w:t>
            </w:r>
            <w:r>
              <w:rPr>
                <w:sz w:val="16"/>
              </w:rPr>
              <w:t>The workflow jobs and their outcome — green</w:t>
            </w:r>
          </w:p>
          <w:p>
            <w:pPr>
              <w:spacing w:after="10" w:before="0" w:line="228" w:lineRule="auto"/>
            </w:pPr>
            <w:r>
              <w:rPr>
                <w:b/>
                <w:sz w:val="16"/>
              </w:rPr>
              <w:t xml:space="preserve">Why: </w:t>
            </w:r>
            <w:r>
              <w:rPr>
                <w:sz w:val="16"/>
              </w:rPr>
              <w:t>The pipeline from §2.3, and the "one reason to fail per job" design from §4.5</w:t>
            </w:r>
          </w:p>
          <w:p>
            <w:pPr>
              <w:spacing w:before="0" w:after="20"/>
            </w:pPr>
            <w:r>
              <w:rPr>
                <w:i/>
                <w:color w:val="666666"/>
                <w:sz w:val="14"/>
              </w:rPr>
              <w:t>The CI run for the pushed commit</w:t>
            </w:r>
          </w:p>
        </w:tc>
      </w:tr>
    </w:tbl>
    <w:p>
      <w:pPr>
        <w:spacing w:after="40" w:before="0"/>
      </w:pPr>
    </w:p>
    <w:p>
      <w:pPr>
        <w:keepNext/>
        <w:spacing w:before="100" w:after="40"/>
      </w:pPr>
      <w:r>
        <w:rPr>
          <w:b/>
          <w:color w:val="2E5496"/>
          <w:sz w:val="20"/>
        </w:rPr>
        <w:t>§6.5 The commit history as text</w:t>
      </w:r>
    </w:p>
    <w:p>
      <w:r>
        <w:rPr>
          <w:b/>
          <w:sz w:val="20"/>
        </w:rPr>
        <w:t>SS-28 — git log --oneline.</w:t>
      </w:r>
    </w:p>
    <w:tbl>
      <w:tblPr>
        <w:tblW w:type="auto" w:w="0"/>
        <w:tblLayout w:type="fixed"/>
        <w:tblLook w:firstColumn="1" w:firstRow="1" w:lastColumn="0" w:lastRow="0" w:noHBand="0" w:noVBand="1" w:val="04A0"/>
      </w:tblPr>
      <w:tblGrid>
        <w:gridCol w:w="4968"/>
        <w:gridCol w:w="4968"/>
      </w:tblGrid>
      <w:tr>
        <w:tc>
          <w:tcPr>
            <w:tcW w:type="dxa" w:w="4824"/>
          </w:tcPr>
          <w:p>
            <w:pPr>
              <w:spacing w:before="20" w:after="20"/>
              <w:jc w:val="center"/>
            </w:pPr>
            <w:r>
              <w:drawing>
                <wp:inline xmlns:a="http://schemas.openxmlformats.org/drawingml/2006/main" xmlns:pic="http://schemas.openxmlformats.org/drawingml/2006/picture">
                  <wp:extent cx="2880360" cy="884681"/>
                  <wp:docPr id="28" name="Picture 28"/>
                  <wp:cNvGraphicFramePr>
                    <a:graphicFrameLocks noChangeAspect="1"/>
                  </wp:cNvGraphicFramePr>
                  <a:graphic>
                    <a:graphicData uri="http://schemas.openxmlformats.org/drawingml/2006/picture">
                      <pic:pic>
                        <pic:nvPicPr>
                          <pic:cNvPr id="0" name="SS-28-git-log.png"/>
                          <pic:cNvPicPr/>
                        </pic:nvPicPr>
                        <pic:blipFill>
                          <a:blip r:embed="rId36"/>
                          <a:stretch>
                            <a:fillRect/>
                          </a:stretch>
                        </pic:blipFill>
                        <pic:spPr>
                          <a:xfrm>
                            <a:off x="0" y="0"/>
                            <a:ext cx="2880360" cy="884681"/>
                          </a:xfrm>
                          <a:prstGeom prst="rect"/>
                        </pic:spPr>
                      </pic:pic>
                    </a:graphicData>
                  </a:graphic>
                </wp:inline>
              </w:drawing>
            </w:r>
          </w:p>
        </w:tc>
        <w:tc>
          <w:tcPr>
            <w:tcW w:type="dxa" w:w="4464"/>
          </w:tcPr>
          <w:p>
            <w:pPr>
              <w:spacing w:after="10" w:before="0" w:line="228" w:lineRule="auto"/>
            </w:pPr>
            <w:r>
              <w:rPr>
                <w:b/>
                <w:sz w:val="16"/>
              </w:rPr>
              <w:t xml:space="preserve">Tool: </w:t>
            </w:r>
            <w:r>
              <w:rPr>
                <w:sz w:val="16"/>
              </w:rPr>
              <w:t>Git</w:t>
            </w:r>
          </w:p>
          <w:p>
            <w:pPr>
              <w:spacing w:after="10" w:before="0" w:line="228" w:lineRule="auto"/>
            </w:pPr>
            <w:r>
              <w:rPr>
                <w:b/>
                <w:sz w:val="16"/>
              </w:rPr>
              <w:t xml:space="preserve">Where: </w:t>
            </w:r>
            <w:r>
              <w:rPr>
                <w:rFonts w:ascii="Consolas" w:hAnsi="Consolas" w:cs="Consolas"/>
                <w:sz w:val="15"/>
              </w:rPr>
              <w:t>git log --oneline</w:t>
            </w:r>
          </w:p>
          <w:p>
            <w:pPr>
              <w:spacing w:after="10" w:before="0" w:line="228" w:lineRule="auto"/>
            </w:pPr>
            <w:r>
              <w:rPr>
                <w:b/>
                <w:sz w:val="16"/>
              </w:rPr>
              <w:t xml:space="preserve">Must show: </w:t>
            </w:r>
            <w:r>
              <w:rPr>
                <w:sz w:val="16"/>
              </w:rPr>
              <w:t>The same history as SS-7, as text — one epic or fix per commit</w:t>
            </w:r>
          </w:p>
          <w:p>
            <w:pPr>
              <w:spacing w:after="10" w:before="0" w:line="228" w:lineRule="auto"/>
            </w:pPr>
            <w:r>
              <w:rPr>
                <w:b/>
                <w:sz w:val="16"/>
              </w:rPr>
              <w:t xml:space="preserve">Why: </w:t>
            </w:r>
            <w:r>
              <w:rPr>
                <w:sz w:val="16"/>
              </w:rPr>
              <w:t>The "how" side of §2.1, in a form that can be read rather than seen</w:t>
            </w:r>
          </w:p>
          <w:p>
            <w:pPr>
              <w:spacing w:before="0" w:after="20"/>
            </w:pPr>
            <w:r>
              <w:rPr>
                <w:i/>
                <w:color w:val="666666"/>
                <w:sz w:val="14"/>
              </w:rPr>
              <w:t>The commit history as text</w:t>
            </w:r>
          </w:p>
        </w:tc>
      </w:tr>
    </w:tbl>
    <w:p>
      <w:pPr>
        <w:spacing w:after="40" w:before="0"/>
      </w:pPr>
    </w:p>
    <w:p>
      <w:pPr>
        <w:keepNext/>
        <w:spacing w:before="100" w:after="40"/>
      </w:pPr>
      <w:r>
        <w:rPr>
          <w:b/>
          <w:color w:val="2E5496"/>
          <w:sz w:val="20"/>
        </w:rPr>
        <w:t>§6.6 Red runs that were useful</w:t>
      </w:r>
    </w:p>
    <w:p>
      <w:r>
        <w:rPr>
          <w:sz w:val="20"/>
        </w:rPr>
        <w:t>Two historical CI runs are kept because they are honest: a red cross told the team exactly what broke, and the fix is in the history.</w:t>
      </w:r>
    </w:p>
    <w:p>
      <w:r>
        <w:rPr>
          <w:b/>
          <w:sz w:val="20"/>
        </w:rPr>
        <w:t>SS-29 — a first CI failure.</w:t>
      </w:r>
    </w:p>
    <w:tbl>
      <w:tblPr>
        <w:tblW w:type="auto" w:w="0"/>
        <w:tblLayout w:type="fixed"/>
        <w:tblLook w:firstColumn="1" w:firstRow="1" w:lastColumn="0" w:lastRow="0" w:noHBand="0" w:noVBand="1" w:val="04A0"/>
      </w:tblPr>
      <w:tblGrid>
        <w:gridCol w:w="4968"/>
        <w:gridCol w:w="4968"/>
      </w:tblGrid>
      <w:tr>
        <w:tc>
          <w:tcPr>
            <w:tcW w:type="dxa" w:w="4824"/>
          </w:tcPr>
          <w:p>
            <w:pPr>
              <w:spacing w:before="20" w:after="20"/>
              <w:jc w:val="center"/>
            </w:pPr>
            <w:r>
              <w:drawing>
                <wp:inline xmlns:a="http://schemas.openxmlformats.org/drawingml/2006/main" xmlns:pic="http://schemas.openxmlformats.org/drawingml/2006/picture">
                  <wp:extent cx="2880360" cy="658368"/>
                  <wp:docPr id="29" name="Picture 29"/>
                  <wp:cNvGraphicFramePr>
                    <a:graphicFrameLocks noChangeAspect="1"/>
                  </wp:cNvGraphicFramePr>
                  <a:graphic>
                    <a:graphicData uri="http://schemas.openxmlformats.org/drawingml/2006/picture">
                      <pic:pic>
                        <pic:nvPicPr>
                          <pic:cNvPr id="0" name="SS-29-ci-first-failure.png"/>
                          <pic:cNvPicPr/>
                        </pic:nvPicPr>
                        <pic:blipFill>
                          <a:blip r:embed="rId37"/>
                          <a:stretch>
                            <a:fillRect/>
                          </a:stretch>
                        </pic:blipFill>
                        <pic:spPr>
                          <a:xfrm>
                            <a:off x="0" y="0"/>
                            <a:ext cx="2880360" cy="658368"/>
                          </a:xfrm>
                          <a:prstGeom prst="rect"/>
                        </pic:spPr>
                      </pic:pic>
                    </a:graphicData>
                  </a:graphic>
                </wp:inline>
              </w:drawing>
            </w:r>
          </w:p>
        </w:tc>
        <w:tc>
          <w:tcPr>
            <w:tcW w:type="dxa" w:w="4464"/>
          </w:tcPr>
          <w:p>
            <w:pPr>
              <w:spacing w:after="10" w:before="0" w:line="228" w:lineRule="auto"/>
            </w:pPr>
            <w:r>
              <w:rPr>
                <w:b/>
                <w:sz w:val="16"/>
              </w:rPr>
              <w:t xml:space="preserve">Tool: </w:t>
            </w:r>
            <w:r>
              <w:rPr>
                <w:sz w:val="16"/>
              </w:rPr>
              <w:t>GitHub Actions</w:t>
            </w:r>
          </w:p>
          <w:p>
            <w:pPr>
              <w:spacing w:after="10" w:before="0" w:line="228" w:lineRule="auto"/>
            </w:pPr>
            <w:r>
              <w:rPr>
                <w:b/>
                <w:sz w:val="16"/>
              </w:rPr>
              <w:t xml:space="preserve">Where: </w:t>
            </w:r>
            <w:r>
              <w:rPr>
                <w:rFonts w:ascii="Consolas" w:hAnsi="Consolas" w:cs="Consolas"/>
                <w:sz w:val="15"/>
              </w:rPr>
              <w:t>gh run view 37274485133 --log-failed</w:t>
            </w:r>
          </w:p>
          <w:p>
            <w:pPr>
              <w:spacing w:after="10" w:before="0" w:line="228" w:lineRule="auto"/>
            </w:pPr>
            <w:r>
              <w:rPr>
                <w:b/>
                <w:sz w:val="16"/>
              </w:rPr>
              <w:t xml:space="preserve">Must show: </w:t>
            </w:r>
            <w:r>
              <w:rPr>
                <w:sz w:val="16"/>
              </w:rPr>
              <w:t xml:space="preserve">Lint failing on a hard-coded </w:t>
            </w:r>
            <w:r>
              <w:rPr>
                <w:rFonts w:ascii="Consolas" w:hAnsi="Consolas" w:cs="Consolas"/>
                <w:sz w:val="15"/>
              </w:rPr>
              <w:t>JWT_SECRET</w:t>
            </w:r>
          </w:p>
          <w:p>
            <w:pPr>
              <w:spacing w:after="10" w:before="0" w:line="228" w:lineRule="auto"/>
            </w:pPr>
            <w:r>
              <w:rPr>
                <w:b/>
                <w:sz w:val="16"/>
              </w:rPr>
              <w:t xml:space="preserve">Why: </w:t>
            </w:r>
            <w:r>
              <w:rPr>
                <w:sz w:val="16"/>
              </w:rPr>
              <w:t>The lint job from §4.5 doing exactly the job it exists for</w:t>
            </w:r>
          </w:p>
          <w:p>
            <w:pPr>
              <w:spacing w:before="0" w:after="20"/>
            </w:pPr>
            <w:r>
              <w:rPr>
                <w:i/>
                <w:color w:val="666666"/>
                <w:sz w:val="14"/>
              </w:rPr>
              <w:t>The lint job failing on a hard-coded secret</w:t>
            </w:r>
          </w:p>
        </w:tc>
      </w:tr>
    </w:tbl>
    <w:p>
      <w:pPr>
        <w:spacing w:after="40" w:before="0"/>
      </w:pPr>
    </w:p>
    <w:p>
      <w:r>
        <w:rPr>
          <w:b/>
          <w:sz w:val="20"/>
        </w:rPr>
        <w:t>SS-30 — a check that passed for the wrong reason.</w:t>
      </w:r>
    </w:p>
    <w:tbl>
      <w:tblPr>
        <w:tblW w:type="auto" w:w="0"/>
        <w:tblLayout w:type="fixed"/>
        <w:tblLook w:firstColumn="1" w:firstRow="1" w:lastColumn="0" w:lastRow="0" w:noHBand="0" w:noVBand="1" w:val="04A0"/>
      </w:tblPr>
      <w:tblGrid>
        <w:gridCol w:w="4968"/>
        <w:gridCol w:w="4968"/>
      </w:tblGrid>
      <w:tr>
        <w:tc>
          <w:tcPr>
            <w:tcW w:type="dxa" w:w="4824"/>
          </w:tcPr>
          <w:p>
            <w:pPr>
              <w:spacing w:before="20" w:after="20"/>
              <w:jc w:val="center"/>
            </w:pPr>
            <w:r>
              <w:drawing>
                <wp:inline xmlns:a="http://schemas.openxmlformats.org/drawingml/2006/main" xmlns:pic="http://schemas.openxmlformats.org/drawingml/2006/picture">
                  <wp:extent cx="2880360" cy="658368"/>
                  <wp:docPr id="30" name="Picture 30"/>
                  <wp:cNvGraphicFramePr>
                    <a:graphicFrameLocks noChangeAspect="1"/>
                  </wp:cNvGraphicFramePr>
                  <a:graphic>
                    <a:graphicData uri="http://schemas.openxmlformats.org/drawingml/2006/picture">
                      <pic:pic>
                        <pic:nvPicPr>
                          <pic:cNvPr id="0" name="SS-30-check-was-wrong.png"/>
                          <pic:cNvPicPr/>
                        </pic:nvPicPr>
                        <pic:blipFill>
                          <a:blip r:embed="rId38"/>
                          <a:stretch>
                            <a:fillRect/>
                          </a:stretch>
                        </pic:blipFill>
                        <pic:spPr>
                          <a:xfrm>
                            <a:off x="0" y="0"/>
                            <a:ext cx="2880360" cy="658368"/>
                          </a:xfrm>
                          <a:prstGeom prst="rect"/>
                        </pic:spPr>
                      </pic:pic>
                    </a:graphicData>
                  </a:graphic>
                </wp:inline>
              </w:drawing>
            </w:r>
          </w:p>
        </w:tc>
        <w:tc>
          <w:tcPr>
            <w:tcW w:type="dxa" w:w="4464"/>
          </w:tcPr>
          <w:p>
            <w:pPr>
              <w:spacing w:after="10" w:before="0" w:line="228" w:lineRule="auto"/>
            </w:pPr>
            <w:r>
              <w:rPr>
                <w:b/>
                <w:sz w:val="16"/>
              </w:rPr>
              <w:t xml:space="preserve">Tool: </w:t>
            </w:r>
            <w:r>
              <w:rPr>
                <w:sz w:val="16"/>
              </w:rPr>
              <w:t>GitHub Actions</w:t>
            </w:r>
          </w:p>
          <w:p>
            <w:pPr>
              <w:spacing w:after="10" w:before="0" w:line="228" w:lineRule="auto"/>
            </w:pPr>
            <w:r>
              <w:rPr>
                <w:b/>
                <w:sz w:val="16"/>
              </w:rPr>
              <w:t xml:space="preserve">Where: </w:t>
            </w:r>
            <w:r>
              <w:rPr>
                <w:rFonts w:ascii="Consolas" w:hAnsi="Consolas" w:cs="Consolas"/>
                <w:sz w:val="15"/>
              </w:rPr>
              <w:t>gh run view</w:t>
            </w:r>
            <w:r>
              <w:rPr>
                <w:sz w:val="16"/>
              </w:rPr>
              <w:t xml:space="preserve"> 37274799850, </w:t>
            </w:r>
            <w:r>
              <w:rPr>
                <w:rFonts w:ascii="Consolas" w:hAnsi="Consolas" w:cs="Consolas"/>
                <w:sz w:val="15"/>
              </w:rPr>
              <w:t>--log-failed</w:t>
            </w:r>
          </w:p>
          <w:p>
            <w:pPr>
              <w:spacing w:after="10" w:before="0" w:line="228" w:lineRule="auto"/>
            </w:pPr>
            <w:r>
              <w:rPr>
                <w:b/>
                <w:sz w:val="16"/>
              </w:rPr>
              <w:t xml:space="preserve">Must show: </w:t>
            </w:r>
            <w:r>
              <w:rPr>
                <w:sz w:val="16"/>
              </w:rPr>
              <w:t>The replacement check failing because of a missing dependency, not the thing it claimed to test</w:t>
            </w:r>
          </w:p>
          <w:p>
            <w:pPr>
              <w:spacing w:after="10" w:before="0" w:line="228" w:lineRule="auto"/>
            </w:pPr>
            <w:r>
              <w:rPr>
                <w:b/>
                <w:sz w:val="16"/>
              </w:rPr>
              <w:t xml:space="preserve">Why: </w:t>
            </w:r>
            <w:r>
              <w:rPr>
                <w:sz w:val="16"/>
              </w:rPr>
              <w:t>§2.4 in practice — a check that passes for the wrong reason is worse than no check, so it was fixed to fail for the right one</w:t>
            </w:r>
          </w:p>
          <w:p>
            <w:pPr>
              <w:spacing w:before="0" w:after="20"/>
            </w:pPr>
            <w:r>
              <w:rPr>
                <w:i/>
                <w:color w:val="666666"/>
                <w:sz w:val="14"/>
              </w:rPr>
              <w:t>A check that failed for its own reason</w:t>
            </w:r>
          </w:p>
        </w:tc>
      </w:tr>
    </w:tbl>
    <w:p>
      <w:pPr>
        <w:spacing w:after="40" w:before="0"/>
      </w:pPr>
    </w:p>
    <w:p>
      <w:pPr>
        <w:keepNext/>
        <w:spacing w:before="100" w:after="40"/>
      </w:pPr>
      <w:r>
        <w:rPr>
          <w:b/>
          <w:color w:val="2E5496"/>
          <w:sz w:val="20"/>
        </w:rPr>
        <w:t>§6.7 The live smoke test</w:t>
      </w:r>
    </w:p>
    <w:p>
      <w:r>
        <w:rPr>
          <w:b/>
          <w:sz w:val="20"/>
        </w:rPr>
        <w:t>SS-31 — the smoke test.</w:t>
      </w:r>
    </w:p>
    <w:tbl>
      <w:tblPr>
        <w:tblW w:type="auto" w:w="0"/>
        <w:tblLayout w:type="fixed"/>
        <w:tblLook w:firstColumn="1" w:firstRow="1" w:lastColumn="0" w:lastRow="0" w:noHBand="0" w:noVBand="1" w:val="04A0"/>
      </w:tblPr>
      <w:tblGrid>
        <w:gridCol w:w="4968"/>
        <w:gridCol w:w="4968"/>
      </w:tblGrid>
      <w:tr>
        <w:tc>
          <w:tcPr>
            <w:tcW w:type="dxa" w:w="4824"/>
          </w:tcPr>
          <w:p>
            <w:pPr>
              <w:spacing w:before="20" w:after="20"/>
              <w:jc w:val="center"/>
            </w:pPr>
            <w:r>
              <w:drawing>
                <wp:inline xmlns:a="http://schemas.openxmlformats.org/drawingml/2006/main" xmlns:pic="http://schemas.openxmlformats.org/drawingml/2006/picture">
                  <wp:extent cx="2050472" cy="1691640"/>
                  <wp:docPr id="31" name="Picture 31"/>
                  <wp:cNvGraphicFramePr>
                    <a:graphicFrameLocks noChangeAspect="1"/>
                  </wp:cNvGraphicFramePr>
                  <a:graphic>
                    <a:graphicData uri="http://schemas.openxmlformats.org/drawingml/2006/picture">
                      <pic:pic>
                        <pic:nvPicPr>
                          <pic:cNvPr id="0" name="SS-31-smoke-test.png"/>
                          <pic:cNvPicPr/>
                        </pic:nvPicPr>
                        <pic:blipFill>
                          <a:blip r:embed="rId39"/>
                          <a:stretch>
                            <a:fillRect/>
                          </a:stretch>
                        </pic:blipFill>
                        <pic:spPr>
                          <a:xfrm>
                            <a:off x="0" y="0"/>
                            <a:ext cx="2050472" cy="1691640"/>
                          </a:xfrm>
                          <a:prstGeom prst="rect"/>
                        </pic:spPr>
                      </pic:pic>
                    </a:graphicData>
                  </a:graphic>
                </wp:inline>
              </w:drawing>
            </w:r>
          </w:p>
        </w:tc>
        <w:tc>
          <w:tcPr>
            <w:tcW w:type="dxa" w:w="4464"/>
          </w:tcPr>
          <w:p>
            <w:pPr>
              <w:spacing w:after="10" w:before="0" w:line="228" w:lineRule="auto"/>
            </w:pPr>
            <w:r>
              <w:rPr>
                <w:b/>
                <w:sz w:val="16"/>
              </w:rPr>
              <w:t xml:space="preserve">Tool: </w:t>
            </w:r>
            <w:r>
              <w:rPr>
                <w:sz w:val="16"/>
              </w:rPr>
              <w:t>Terminal</w:t>
            </w:r>
          </w:p>
          <w:p>
            <w:pPr>
              <w:spacing w:after="10" w:before="0" w:line="228" w:lineRule="auto"/>
            </w:pPr>
            <w:r>
              <w:rPr>
                <w:b/>
                <w:sz w:val="16"/>
              </w:rPr>
              <w:t xml:space="preserve">Where: </w:t>
            </w:r>
            <w:r>
              <w:rPr>
                <w:rFonts w:ascii="Consolas" w:hAnsi="Consolas" w:cs="Consolas"/>
                <w:sz w:val="15"/>
              </w:rPr>
              <w:t>node scripts/smoke-test.mjs http://127.0.0.1:3010</w:t>
            </w:r>
          </w:p>
          <w:p>
            <w:pPr>
              <w:spacing w:after="10" w:before="0" w:line="228" w:lineRule="auto"/>
            </w:pPr>
            <w:r>
              <w:rPr>
                <w:b/>
                <w:sz w:val="16"/>
              </w:rPr>
              <w:t xml:space="preserve">Must show: </w:t>
            </w:r>
            <w:r>
              <w:rPr>
                <w:sz w:val="16"/>
              </w:rPr>
              <w:t>30 checks over real HTTP against a running server, all passing</w:t>
            </w:r>
          </w:p>
          <w:p>
            <w:pPr>
              <w:spacing w:after="10" w:before="0" w:line="228" w:lineRule="auto"/>
            </w:pPr>
            <w:r>
              <w:rPr>
                <w:b/>
                <w:sz w:val="16"/>
              </w:rPr>
              <w:t xml:space="preserve">Why: </w:t>
            </w:r>
            <w:r>
              <w:rPr>
                <w:sz w:val="16"/>
              </w:rPr>
              <w:t>End-to-end verification of the running system, the top of the test pyramid from §2.4</w:t>
            </w:r>
          </w:p>
          <w:p>
            <w:pPr>
              <w:spacing w:before="0" w:after="20"/>
            </w:pPr>
            <w:r>
              <w:rPr>
                <w:i/>
                <w:color w:val="666666"/>
                <w:sz w:val="14"/>
              </w:rPr>
              <w:t>The smoke test over HTTP, 30 checks passing</w:t>
            </w:r>
          </w:p>
        </w:tc>
      </w:tr>
    </w:tbl>
    <w:p>
      <w:pPr>
        <w:spacing w:after="40" w:before="0"/>
      </w:pPr>
    </w:p>
    <w:p>
      <w:pPr>
        <w:spacing w:before="80" w:after="80"/>
        <w:pBdr>
          <w:bottom w:val="single" w:sz="6" w:space="1" w:color="BBBBBB"/>
        </w:pBdr>
      </w:pPr>
    </w:p>
    <w:p>
      <w:pPr>
        <w:keepNext/>
        <w:spacing w:before="140" w:after="40"/>
      </w:pPr>
      <w:r>
        <w:rPr>
          <w:b/>
          <w:color w:val="2E5496"/>
          <w:sz w:val="22"/>
        </w:rPr>
        <w:t>7. Conclusion</w:t>
      </w:r>
    </w:p>
    <w:p>
      <w:r>
        <w:rPr>
          <w:sz w:val="20"/>
        </w:rPr>
        <w:t xml:space="preserve">ShopHub is a complete trading loop for an online retailer, built the way the lab prescribes: the work lived in </w:t>
      </w:r>
      <w:r>
        <w:rPr>
          <w:b/>
          <w:sz w:val="20"/>
        </w:rPr>
        <w:t>Jira</w:t>
      </w:r>
      <w:r>
        <w:rPr>
          <w:sz w:val="20"/>
        </w:rPr>
        <w:t xml:space="preserve">, the code lived in </w:t>
      </w:r>
      <w:r>
        <w:rPr>
          <w:b/>
          <w:sz w:val="20"/>
        </w:rPr>
        <w:t>GitHub</w:t>
      </w:r>
      <w:r>
        <w:rPr>
          <w:sz w:val="20"/>
        </w:rPr>
        <w:t>, and CI verified every push and nothing more. The final audit compared all 53 acceptance criteria of the 16 open stories against the code, made the small set of changes needed to align them, and moved every story to Done. The evidence in this document — the board, the repository, the running console and the real command output — was captured from the tools themselves, and the one gap, the burndown chart, is stated plainly rather than papered over with a drawing.</w:t>
      </w:r>
    </w:p>
    <w:sectPr w:rsidR="00FC693F" w:rsidRPr="0006063C" w:rsidSect="00034616">
      <w:pgSz w:w="12240" w:h="15840"/>
      <w:pgMar w:top="864"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line="228"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