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Inter" w:hAnsi="Inter" w:eastAsia="Noto Sans CJK JP"/>
          <w:b/>
          <w:color w:val="146C70"/>
          <w:sz w:val="17"/>
        </w:rPr>
        <w:t>FOUNDING DOCUMENT / 27 SEPTEMBER 2026</w:t>
      </w:r>
    </w:p>
    <w:p>
      <w:bookmarkStart w:id="1" w:name="sec1"/>
      <w:pPr>
        <w:pStyle w:val="Heading1"/>
      </w:pPr>
      <w:r>
        <w:rPr>
          <w:rFonts w:ascii="Inter" w:hAnsi="Inter" w:eastAsia="Noto Sans CJK JP"/>
          <w:sz w:val="86"/>
        </w:rPr>
        <w:t>SUPER</w:t>
        <w:br/>
        <w:t>COLOUR APP</w:t>
      </w:r>
      <w:bookmarkEnd w:id="1"/>
    </w:p>
    <w:p>
      <w:pPr>
        <w:pStyle w:val="Subtitle"/>
      </w:pPr>
      <w:r>
        <w:rPr>
          <w:rFonts w:ascii="Inter" w:hAnsi="Inter" w:eastAsia="Noto Sans CJK JP"/>
        </w:rPr>
        <w:t>Colour knowledge &amp;</w:t>
        <w:br/>
        <w:t>product foundation</w:t>
      </w:r>
    </w:p>
    <w:p>
      <w:pPr>
        <w:spacing w:after="320"/>
      </w:pPr>
      <w:r>
        <w:rPr>
          <w:rFonts w:ascii="Inter" w:hAnsi="Inter" w:eastAsia="Noto Sans CJK JP"/>
          <w:sz w:val="28"/>
        </w:rPr>
        <w:t>A reference for understanding colour, preserving cultural context, and building a reproducible fashion colour laboratory.</w:t>
      </w:r>
    </w:p>
    <w:p>
      <w:pPr>
        <w:spacing w:after="520"/>
      </w:pPr>
      <w:r>
        <w:rPr>
          <w:rFonts w:ascii="Inter" w:hAnsi="Inter" w:eastAsia="Noto Sans CJK JP"/>
          <w:b/>
          <w:color w:val="146C70"/>
          <w:sz w:val="17"/>
        </w:rPr>
        <w:t>SCIENCE  /  TRADITIONS  /  DICTIONARY  /  EXPERIMENTS</w:t>
      </w:r>
    </w:p>
    <w:tbl>
      <w:tblPr>
        <w:tblW w:type="auto" w:w="0"/>
        <w:tblLayout w:type="fixed"/>
        <w:tblLook w:firstColumn="1" w:firstRow="1" w:lastColumn="0" w:lastRow="0" w:noHBand="0" w:noVBand="1" w:val="04A0"/>
      </w:tblPr>
      <w:tblGrid>
        <w:gridCol w:w="1638"/>
        <w:gridCol w:w="1638"/>
        <w:gridCol w:w="1638"/>
        <w:gridCol w:w="1638"/>
        <w:gridCol w:w="1638"/>
        <w:gridCol w:w="1638"/>
      </w:tblGrid>
      <w:tr>
        <w:tc>
          <w:tcPr>
            <w:tcW w:type="dxa" w:w="1639"/>
            <w:shd w:fill="173146"/>
          </w:tcPr>
          <w:p>
            <w:pPr>
              <w:widowControl w:val="0"/>
              <w:spacing w:after="0"/>
            </w:pPr>
            <w:r>
              <w:rPr>
                <w:sz w:val="52"/>
              </w:rPr>
              <w:t xml:space="preserve"> </w:t>
            </w:r>
          </w:p>
        </w:tc>
        <w:tc>
          <w:tcPr>
            <w:tcW w:type="dxa" w:w="1639"/>
            <w:shd w:fill="397D83"/>
          </w:tcPr>
          <w:p>
            <w:pPr>
              <w:widowControl w:val="0"/>
              <w:spacing w:after="0"/>
            </w:pPr>
            <w:r>
              <w:rPr>
                <w:sz w:val="52"/>
              </w:rPr>
              <w:t xml:space="preserve"> </w:t>
            </w:r>
          </w:p>
        </w:tc>
        <w:tc>
          <w:tcPr>
            <w:tcW w:type="dxa" w:w="1639"/>
            <w:shd w:fill="AFC7BE"/>
          </w:tcPr>
          <w:p>
            <w:pPr>
              <w:widowControl w:val="0"/>
              <w:spacing w:after="0"/>
            </w:pPr>
            <w:r>
              <w:rPr>
                <w:sz w:val="52"/>
              </w:rPr>
              <w:t xml:space="preserve"> </w:t>
            </w:r>
          </w:p>
        </w:tc>
        <w:tc>
          <w:tcPr>
            <w:tcW w:type="dxa" w:w="1639"/>
            <w:shd w:fill="EEE2C6"/>
          </w:tcPr>
          <w:p>
            <w:pPr>
              <w:widowControl w:val="0"/>
              <w:spacing w:after="0"/>
            </w:pPr>
            <w:r>
              <w:rPr>
                <w:sz w:val="52"/>
              </w:rPr>
              <w:t xml:space="preserve"> </w:t>
            </w:r>
          </w:p>
        </w:tc>
        <w:tc>
          <w:tcPr>
            <w:tcW w:type="dxa" w:w="1639"/>
            <w:shd w:fill="C9664D"/>
          </w:tcPr>
          <w:p>
            <w:pPr>
              <w:widowControl w:val="0"/>
              <w:spacing w:after="0"/>
            </w:pPr>
            <w:r>
              <w:rPr>
                <w:sz w:val="52"/>
              </w:rPr>
              <w:t xml:space="preserve"> </w:t>
            </w:r>
          </w:p>
        </w:tc>
        <w:tc>
          <w:tcPr>
            <w:tcW w:type="dxa" w:w="1639"/>
            <w:shd w:fill="714C72"/>
          </w:tcPr>
          <w:p>
            <w:pPr>
              <w:widowControl w:val="0"/>
              <w:spacing w:after="0"/>
            </w:pPr>
            <w:r>
              <w:rPr>
                <w:sz w:val="52"/>
              </w:rPr>
              <w:t xml:space="preserve"> </w:t>
            </w:r>
          </w:p>
        </w:tc>
      </w:tr>
    </w:tbl>
    <w:p>
      <w:pPr>
        <w:pStyle w:val="Caption"/>
      </w:pPr>
      <w:r>
        <w:rPr>
          <w:rFonts w:ascii="Inter" w:hAnsi="Inter" w:eastAsia="Noto Sans CJK JP"/>
        </w:rPr>
        <w:t>Illustrative screen palette. These swatches are not historical colour standards.</w:t>
      </w:r>
    </w:p>
    <w:p>
      <w:pPr>
        <w:pStyle w:val="Heading2"/>
      </w:pPr>
      <w:r>
        <w:rPr>
          <w:rFonts w:ascii="Inter" w:hAnsi="Inter" w:eastAsia="Noto Sans CJK JP"/>
        </w:rPr>
        <w:t>The product in one sentence</w:t>
      </w:r>
    </w:p>
    <w:p>
      <w:r>
        <w:rPr>
          <w:rFonts w:ascii="Inter" w:hAnsi="Inter" w:eastAsia="Noto Sans CJK JP"/>
        </w:rPr>
        <w:t>A colour knowledge and experimentation application that connects perceptual science, documented colour traditions, palette generation, garment visualisation and personal evaluation—without treating any one of them as a universal rule of beauty.</w:t>
      </w:r>
    </w:p>
    <w:p>
      <w:pPr>
        <w:spacing w:before="140" w:after="160"/>
        <w:ind w:left="187" w:right="144"/>
        <w:shd w:fill="EFF5F5"/>
        <w:pBdr>
          <w:left w:val="single" w:sz="18" w:color="146C70" w:space="7"/>
        </w:pBdr>
      </w:pPr>
      <w:r>
        <w:rPr>
          <w:rFonts w:ascii="Inter" w:hAnsi="Inter" w:eastAsia="Noto Sans CJK JP"/>
          <w:b/>
        </w:rPr>
        <w:t>Version 0.1</w:t>
      </w:r>
      <w:r>
        <w:rPr>
          <w:rFonts w:ascii="Inter" w:hAnsi="Inter" w:eastAsia="Noto Sans CJK JP"/>
        </w:rPr>
        <w:t xml:space="preserve">  This document captures the scope discussed so far. Research-backed reference material is separated from proposed requirements, illustrative examples and open decisions. It is not a completed colour database or a claim that historical collections have been licensed.</w:t>
      </w:r>
    </w:p>
    <w:p>
      <w:r>
        <w:rPr>
          <w:rFonts w:ascii="Inter" w:hAnsi="Inter" w:eastAsia="Noto Sans CJK JP"/>
          <w:sz w:val="20"/>
        </w:rPr>
        <w:t>Primary starting domain: fashion and textiles.</w:t>
        <w:br/>
        <w:t>Longer-term applications: visual design, interiors, illustration, craft and education.</w:t>
      </w:r>
    </w:p>
    <w:p>
      <w:r>
        <w:br w:type="page"/>
      </w:r>
    </w:p>
    <w:p>
      <w:pPr>
        <w:spacing w:after="120"/>
      </w:pPr>
      <w:r>
        <w:rPr>
          <w:rFonts w:ascii="Inter" w:hAnsi="Inter" w:eastAsia="Noto Sans CJK JP"/>
          <w:b/>
          <w:color w:val="146C70"/>
          <w:sz w:val="17"/>
        </w:rPr>
        <w:t>DOCUMENT MAP</w:t>
      </w:r>
    </w:p>
    <w:p>
      <w:bookmarkStart w:id="2" w:name="sec2"/>
      <w:pPr>
        <w:pStyle w:val="Heading1"/>
      </w:pPr>
      <w:r>
        <w:rPr>
          <w:rFonts w:ascii="Inter" w:hAnsi="Inter" w:eastAsia="Noto Sans CJK JP"/>
        </w:rPr>
        <w:t>How to use this document</w:t>
      </w:r>
      <w:bookmarkEnd w:id="2"/>
    </w:p>
    <w:p>
      <w:pPr>
        <w:spacing w:after="200"/>
      </w:pPr>
      <w:r>
        <w:rPr>
          <w:rFonts w:ascii="Inter" w:hAnsi="Inter" w:eastAsia="Noto Sans CJK JP"/>
          <w:color w:val="53626E"/>
          <w:sz w:val="21"/>
        </w:rPr>
        <w:t>Read the knowledge foundation first; use the later sections to turn it into product decisions and implementation work.</w:t>
      </w:r>
    </w:p>
    <w:tbl>
      <w:tblPr>
        <w:tblW w:type="auto" w:w="0"/>
        <w:jc w:val="center"/>
        <w:tblLayout w:type="fixed"/>
        <w:tblLook w:firstColumn="1" w:firstRow="1" w:lastColumn="0" w:lastRow="0" w:noHBand="0" w:noVBand="1" w:val="04A0"/>
      </w:tblPr>
      <w:tblGrid>
        <w:gridCol w:w="1843"/>
        <w:gridCol w:w="6912"/>
        <w:gridCol w:w="1077"/>
      </w:tblGrid>
      <w:tr>
        <w:trPr>
          <w:tblHeader w:val="true"/>
        </w:trPr>
        <w:tc>
          <w:tcPr>
            <w:tcW w:type="dxa" w:w="1843"/>
            <w:shd w:fill="173146"/>
            <w:tcMar>
              <w:top w:w="95" w:type="dxa"/>
              <w:start w:w="105" w:type="dxa"/>
              <w:bottom w:w="95" w:type="dxa"/>
              <w:end w:w="105" w:type="dxa"/>
            </w:tcMar>
          </w:tcPr>
          <w:p>
            <w:pPr>
              <w:widowControl w:val="0"/>
              <w:spacing w:after="0"/>
            </w:pPr>
            <w:r>
              <w:rPr>
                <w:rFonts w:ascii="Inter" w:hAnsi="Inter" w:eastAsia="Noto Sans CJK JP"/>
                <w:b/>
                <w:color w:val="FFFFFF"/>
                <w:sz w:val="18"/>
              </w:rPr>
              <w:t>Part</w:t>
            </w:r>
          </w:p>
        </w:tc>
        <w:tc>
          <w:tcPr>
            <w:tcW w:type="dxa" w:w="6912"/>
            <w:shd w:fill="173146"/>
            <w:tcMar>
              <w:top w:w="95" w:type="dxa"/>
              <w:start w:w="105" w:type="dxa"/>
              <w:bottom w:w="95" w:type="dxa"/>
              <w:end w:w="105" w:type="dxa"/>
            </w:tcMar>
          </w:tcPr>
          <w:p>
            <w:pPr>
              <w:widowControl w:val="0"/>
              <w:spacing w:after="0"/>
            </w:pPr>
            <w:r>
              <w:rPr>
                <w:rFonts w:ascii="Inter" w:hAnsi="Inter" w:eastAsia="Noto Sans CJK JP"/>
                <w:b/>
                <w:color w:val="FFFFFF"/>
                <w:sz w:val="18"/>
              </w:rPr>
              <w:t>What it contains</w:t>
            </w:r>
          </w:p>
        </w:tc>
        <w:tc>
          <w:tcPr>
            <w:tcW w:type="dxa" w:w="1077"/>
            <w:shd w:fill="173146"/>
            <w:tcMar>
              <w:top w:w="95" w:type="dxa"/>
              <w:start w:w="105" w:type="dxa"/>
              <w:bottom w:w="95" w:type="dxa"/>
              <w:end w:w="105" w:type="dxa"/>
            </w:tcMar>
          </w:tcPr>
          <w:p>
            <w:pPr>
              <w:widowControl w:val="0"/>
              <w:spacing w:after="0"/>
            </w:pPr>
            <w:r>
              <w:rPr>
                <w:rFonts w:ascii="Inter" w:hAnsi="Inter" w:eastAsia="Noto Sans CJK JP"/>
                <w:b/>
                <w:color w:val="FFFFFF"/>
                <w:sz w:val="18"/>
              </w:rPr>
              <w:t>Pages</w:t>
            </w:r>
          </w:p>
        </w:tc>
      </w:tr>
      <w:tr>
        <w:trPr>
          <w:cantSplit/>
        </w:trPr>
        <w:tc>
          <w:tcPr>
            <w:tcW w:type="dxa" w:w="184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A · Foundation</w:t>
            </w:r>
          </w:p>
        </w:tc>
        <w:tc>
          <w:tcPr>
            <w:tcW w:type="dxa" w:w="6912"/>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Vision, vocabulary, colour spaces and physical appearance</w:t>
            </w:r>
          </w:p>
        </w:tc>
        <w:tc>
          <w:tcPr>
            <w:tcW w:type="dxa" w:w="1077"/>
            <w:vAlign w:val="center"/>
            <w:tcMar>
              <w:top w:w="75" w:type="dxa"/>
              <w:start w:w="95" w:type="dxa"/>
              <w:bottom w:w="75" w:type="dxa"/>
              <w:end w:w="95" w:type="dxa"/>
            </w:tcMar>
            <w:shd w:fill="F1F6F6"/>
          </w:tcPr>
          <w:p>
            <w:pPr>
              <w:widowControl w:val="0"/>
              <w:spacing w:after="0" w:line="257" w:lineRule="auto"/>
            </w:pPr>
            <w:hyperlink w:anchor="sec3">
              <w:r>
                <w:rPr>
                  <w:rFonts w:ascii="Inter" w:hAnsi="Inter" w:eastAsia="Noto Sans CJK JP"/>
                  <w:color w:val="146C70"/>
                  <w:sz w:val="18"/>
                  <w:u w:val="single"/>
                </w:rPr>
                <w:t>3–6</w:t>
              </w:r>
            </w:hyperlink>
          </w:p>
        </w:tc>
      </w:tr>
      <w:tr>
        <w:trPr>
          <w:cantSplit/>
        </w:trPr>
        <w:tc>
          <w:tcPr>
            <w:tcW w:type="dxa" w:w="184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B · Knowledge systems</w:t>
            </w:r>
          </w:p>
        </w:tc>
        <w:tc>
          <w:tcPr>
            <w:tcW w:type="dxa" w:w="6912"/>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Harmony, historical theories, Japanese and Chinese traditions</w:t>
            </w:r>
          </w:p>
        </w:tc>
        <w:tc>
          <w:tcPr>
            <w:tcW w:type="dxa" w:w="1077"/>
            <w:vAlign w:val="center"/>
            <w:tcMar>
              <w:top w:w="75" w:type="dxa"/>
              <w:start w:w="95" w:type="dxa"/>
              <w:bottom w:w="75" w:type="dxa"/>
              <w:end w:w="95" w:type="dxa"/>
            </w:tcMar>
            <w:shd w:fill="FFFFFF"/>
          </w:tcPr>
          <w:p>
            <w:pPr>
              <w:widowControl w:val="0"/>
              <w:spacing w:after="0" w:line="257" w:lineRule="auto"/>
            </w:pPr>
            <w:hyperlink w:anchor="sec7">
              <w:r>
                <w:rPr>
                  <w:rFonts w:ascii="Inter" w:hAnsi="Inter" w:eastAsia="Noto Sans CJK JP"/>
                  <w:color w:val="146C70"/>
                  <w:sz w:val="18"/>
                  <w:u w:val="single"/>
                </w:rPr>
                <w:t>7–11</w:t>
              </w:r>
            </w:hyperlink>
          </w:p>
        </w:tc>
      </w:tr>
      <w:tr>
        <w:trPr>
          <w:cantSplit/>
        </w:trPr>
        <w:tc>
          <w:tcPr>
            <w:tcW w:type="dxa" w:w="184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 · Colour dictionary</w:t>
            </w:r>
          </w:p>
        </w:tc>
        <w:tc>
          <w:tcPr>
            <w:tcW w:type="dxa" w:w="6912"/>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Records, evidence, sources and licensing</w:t>
            </w:r>
          </w:p>
        </w:tc>
        <w:tc>
          <w:tcPr>
            <w:tcW w:type="dxa" w:w="1077"/>
            <w:vAlign w:val="center"/>
            <w:tcMar>
              <w:top w:w="75" w:type="dxa"/>
              <w:start w:w="95" w:type="dxa"/>
              <w:bottom w:w="75" w:type="dxa"/>
              <w:end w:w="95" w:type="dxa"/>
            </w:tcMar>
            <w:shd w:fill="F1F6F6"/>
          </w:tcPr>
          <w:p>
            <w:pPr>
              <w:widowControl w:val="0"/>
              <w:spacing w:after="0" w:line="257" w:lineRule="auto"/>
            </w:pPr>
            <w:hyperlink w:anchor="sec12">
              <w:r>
                <w:rPr>
                  <w:rFonts w:ascii="Inter" w:hAnsi="Inter" w:eastAsia="Noto Sans CJK JP"/>
                  <w:color w:val="146C70"/>
                  <w:sz w:val="18"/>
                  <w:u w:val="single"/>
                </w:rPr>
                <w:t>12–13</w:t>
              </w:r>
            </w:hyperlink>
          </w:p>
        </w:tc>
      </w:tr>
      <w:tr>
        <w:trPr>
          <w:cantSplit/>
        </w:trPr>
        <w:tc>
          <w:tcPr>
            <w:tcW w:type="dxa" w:w="184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D · Laboratory</w:t>
            </w:r>
          </w:p>
        </w:tc>
        <w:tc>
          <w:tcPr>
            <w:tcW w:type="dxa" w:w="6912"/>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Generation, experiments, garments, materials and production</w:t>
            </w:r>
          </w:p>
        </w:tc>
        <w:tc>
          <w:tcPr>
            <w:tcW w:type="dxa" w:w="1077"/>
            <w:vAlign w:val="center"/>
            <w:tcMar>
              <w:top w:w="75" w:type="dxa"/>
              <w:start w:w="95" w:type="dxa"/>
              <w:bottom w:w="75" w:type="dxa"/>
              <w:end w:w="95" w:type="dxa"/>
            </w:tcMar>
            <w:shd w:fill="FFFFFF"/>
          </w:tcPr>
          <w:p>
            <w:pPr>
              <w:widowControl w:val="0"/>
              <w:spacing w:after="0" w:line="257" w:lineRule="auto"/>
            </w:pPr>
            <w:hyperlink w:anchor="sec14">
              <w:r>
                <w:rPr>
                  <w:rFonts w:ascii="Inter" w:hAnsi="Inter" w:eastAsia="Noto Sans CJK JP"/>
                  <w:color w:val="146C70"/>
                  <w:sz w:val="18"/>
                  <w:u w:val="single"/>
                </w:rPr>
                <w:t>14–20</w:t>
              </w:r>
            </w:hyperlink>
          </w:p>
        </w:tc>
      </w:tr>
      <w:tr>
        <w:trPr>
          <w:cantSplit/>
        </w:trPr>
        <w:tc>
          <w:tcPr>
            <w:tcW w:type="dxa" w:w="184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E · Product</w:t>
            </w:r>
          </w:p>
        </w:tc>
        <w:tc>
          <w:tcPr>
            <w:tcW w:type="dxa" w:w="6912"/>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Experience, architecture, data, quality and delivery</w:t>
            </w:r>
          </w:p>
        </w:tc>
        <w:tc>
          <w:tcPr>
            <w:tcW w:type="dxa" w:w="1077"/>
            <w:vAlign w:val="center"/>
            <w:tcMar>
              <w:top w:w="75" w:type="dxa"/>
              <w:start w:w="95" w:type="dxa"/>
              <w:bottom w:w="75" w:type="dxa"/>
              <w:end w:w="95" w:type="dxa"/>
            </w:tcMar>
            <w:shd w:fill="F1F6F6"/>
          </w:tcPr>
          <w:p>
            <w:pPr>
              <w:widowControl w:val="0"/>
              <w:spacing w:after="0" w:line="257" w:lineRule="auto"/>
            </w:pPr>
            <w:hyperlink w:anchor="sec21">
              <w:r>
                <w:rPr>
                  <w:rFonts w:ascii="Inter" w:hAnsi="Inter" w:eastAsia="Noto Sans CJK JP"/>
                  <w:color w:val="146C70"/>
                  <w:sz w:val="18"/>
                  <w:u w:val="single"/>
                </w:rPr>
                <w:t>21–27</w:t>
              </w:r>
            </w:hyperlink>
          </w:p>
        </w:tc>
      </w:tr>
      <w:tr>
        <w:trPr>
          <w:cantSplit/>
        </w:trPr>
        <w:tc>
          <w:tcPr>
            <w:tcW w:type="dxa" w:w="184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References</w:t>
            </w:r>
          </w:p>
        </w:tc>
        <w:tc>
          <w:tcPr>
            <w:tcW w:type="dxa" w:w="6912"/>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Linked scientific, institutional and publisher sources</w:t>
            </w:r>
          </w:p>
        </w:tc>
        <w:tc>
          <w:tcPr>
            <w:tcW w:type="dxa" w:w="1077"/>
            <w:vAlign w:val="center"/>
            <w:tcMar>
              <w:top w:w="75" w:type="dxa"/>
              <w:start w:w="95" w:type="dxa"/>
              <w:bottom w:w="75" w:type="dxa"/>
              <w:end w:w="95" w:type="dxa"/>
            </w:tcMar>
            <w:shd w:fill="FFFFFF"/>
          </w:tcPr>
          <w:p>
            <w:pPr>
              <w:widowControl w:val="0"/>
              <w:spacing w:after="0" w:line="257" w:lineRule="auto"/>
            </w:pPr>
            <w:hyperlink w:anchor="sec28">
              <w:r>
                <w:rPr>
                  <w:rFonts w:ascii="Inter" w:hAnsi="Inter" w:eastAsia="Noto Sans CJK JP"/>
                  <w:color w:val="146C70"/>
                  <w:sz w:val="18"/>
                  <w:u w:val="single"/>
                </w:rPr>
                <w:t>28–30</w:t>
              </w:r>
            </w:hyperlink>
          </w:p>
        </w:tc>
      </w:tr>
    </w:tbl>
    <w:p>
      <w:pPr>
        <w:spacing w:after="0"/>
      </w:pPr>
    </w:p>
    <w:p>
      <w:pPr>
        <w:pStyle w:val="Heading2"/>
      </w:pPr>
      <w:r>
        <w:rPr>
          <w:rFonts w:ascii="Inter" w:hAnsi="Inter" w:eastAsia="Noto Sans CJK JP"/>
        </w:rPr>
        <w:t>Four types of statement</w:t>
      </w:r>
    </w:p>
    <w:p>
      <w:r>
        <w:rPr>
          <w:rFonts w:ascii="Inter" w:hAnsi="Inter" w:eastAsia="Noto Sans CJK JP"/>
          <w:b/>
        </w:rPr>
        <w:t>Reference knowledge</w:t>
      </w:r>
      <w:r>
        <w:rPr>
          <w:rFonts w:ascii="Inter" w:hAnsi="Inter" w:eastAsia="Noto Sans CJK JP"/>
        </w:rPr>
        <w:t xml:space="preserve"> describes sourced concepts or historical material. </w:t>
      </w:r>
      <w:r>
        <w:rPr>
          <w:rFonts w:ascii="Inter" w:hAnsi="Inter" w:eastAsia="Noto Sans CJK JP"/>
          <w:b/>
        </w:rPr>
        <w:t>Product requirement</w:t>
      </w:r>
      <w:r>
        <w:rPr>
          <w:rFonts w:ascii="Inter" w:hAnsi="Inter" w:eastAsia="Noto Sans CJK JP"/>
        </w:rPr>
        <w:t xml:space="preserve"> means a proposed behaviour of the app. </w:t>
      </w:r>
      <w:r>
        <w:rPr>
          <w:rFonts w:ascii="Inter" w:hAnsi="Inter" w:eastAsia="Noto Sans CJK JP"/>
          <w:b/>
        </w:rPr>
        <w:t>Illustrative example</w:t>
      </w:r>
      <w:r>
        <w:rPr>
          <w:rFonts w:ascii="Inter" w:hAnsi="Inter" w:eastAsia="Noto Sans CJK JP"/>
        </w:rPr>
        <w:t xml:space="preserve"> demonstrates a workflow without claiming measured results. </w:t>
      </w:r>
      <w:r>
        <w:rPr>
          <w:rFonts w:ascii="Inter" w:hAnsi="Inter" w:eastAsia="Noto Sans CJK JP"/>
          <w:b/>
        </w:rPr>
        <w:t>Open decision</w:t>
      </w:r>
      <w:r>
        <w:rPr>
          <w:rFonts w:ascii="Inter" w:hAnsi="Inter" w:eastAsia="Noto Sans CJK JP"/>
        </w:rPr>
        <w:t xml:space="preserve"> identifies work that still needs research, testing or agreement.</w:t>
      </w:r>
    </w:p>
    <w:p>
      <w:pPr>
        <w:pStyle w:val="Heading2"/>
      </w:pPr>
      <w:r>
        <w:rPr>
          <w:rFonts w:ascii="Inter" w:hAnsi="Inter" w:eastAsia="Noto Sans CJK JP"/>
        </w:rPr>
        <w:t>How citations work</w:t>
      </w:r>
    </w:p>
    <w:p>
      <w:r>
        <w:rPr>
          <w:rFonts w:ascii="Inter" w:hAnsi="Inter" w:eastAsia="Noto Sans CJK JP"/>
        </w:rPr>
        <w:t>Numbered references link to the source register at the end. Sources were reviewed for this initial document on 27 September 2026. Publisher descriptions support bibliographic facts; they do not grant reproduction rights. Modern reconstructions and interpretations must remain labelled as such.</w:t>
      </w:r>
    </w:p>
    <w:p>
      <w:pPr>
        <w:pStyle w:val="Heading2"/>
      </w:pPr>
      <w:r>
        <w:rPr>
          <w:rFonts w:ascii="Inter" w:hAnsi="Inter" w:eastAsia="Noto Sans CJK JP"/>
        </w:rPr>
        <w:t>What “all the information” means here</w:t>
      </w:r>
    </w:p>
    <w:p>
      <w:r>
        <w:rPr>
          <w:rFonts w:ascii="Inter" w:hAnsi="Inter" w:eastAsia="Noto Sans CJK JP"/>
        </w:rPr>
        <w:t>This is a complete first-pass map of the colour knowledge and product areas we have discussed—not an exhaustive encyclopaedia of colour. It identifies what the app must represent, what users can experiment with, and what evidence is still missing.</w:t>
      </w:r>
    </w:p>
    <w:p>
      <w:pPr>
        <w:spacing w:before="140" w:after="160"/>
        <w:ind w:left="187" w:right="144"/>
        <w:shd w:fill="EFF5F5"/>
        <w:pBdr>
          <w:left w:val="single" w:sz="18" w:color="146C70" w:space="7"/>
        </w:pBdr>
      </w:pPr>
      <w:r>
        <w:rPr>
          <w:rFonts w:ascii="Inter" w:hAnsi="Inter" w:eastAsia="Noto Sans CJK JP"/>
          <w:b/>
        </w:rPr>
        <w:t>Priority already established</w:t>
      </w:r>
      <w:r>
        <w:rPr>
          <w:rFonts w:ascii="Inter" w:hAnsi="Inter" w:eastAsia="Noto Sans CJK JP"/>
        </w:rPr>
        <w:t xml:space="preserve">  Japanese and Chinese knowledge belong in the first product scope. They are not decorative filters or a later replacement for a Western-only database.</w:t>
      </w:r>
    </w:p>
    <w:p>
      <w:pPr>
        <w:pStyle w:val="Heading2"/>
      </w:pPr>
      <w:r>
        <w:rPr>
          <w:rFonts w:ascii="Inter" w:hAnsi="Inter" w:eastAsia="Noto Sans CJK JP"/>
        </w:rPr>
        <w:t>Document maintenance</w:t>
      </w:r>
    </w:p>
    <w:p>
      <w:r>
        <w:rPr>
          <w:rFonts w:ascii="Inter" w:hAnsi="Inter" w:eastAsia="Noto Sans CJK JP"/>
        </w:rPr>
        <w:t>Keep a versioned decision log, a source register and a dataset manifest beside this document. Update scientific methods, rights decisions and historical interpretations independently; a revised translation must not silently overwrite a measured colour record.</w:t>
      </w:r>
    </w:p>
    <w:p>
      <w:r>
        <w:br w:type="page"/>
      </w:r>
    </w:p>
    <w:p>
      <w:pPr>
        <w:spacing w:after="120"/>
      </w:pPr>
      <w:r>
        <w:rPr>
          <w:rFonts w:ascii="Inter" w:hAnsi="Inter" w:eastAsia="Noto Sans CJK JP"/>
          <w:b/>
          <w:color w:val="146C70"/>
          <w:sz w:val="17"/>
        </w:rPr>
        <w:t>A / PRODUCT FOUNDATION</w:t>
      </w:r>
    </w:p>
    <w:p>
      <w:bookmarkStart w:id="3" w:name="sec3"/>
      <w:pPr>
        <w:pStyle w:val="Heading1"/>
      </w:pPr>
      <w:r>
        <w:rPr>
          <w:rFonts w:ascii="Inter" w:hAnsi="Inter" w:eastAsia="Noto Sans CJK JP"/>
        </w:rPr>
        <w:t>1. What we are building</w:t>
      </w:r>
      <w:bookmarkEnd w:id="3"/>
    </w:p>
    <w:p>
      <w:pPr>
        <w:spacing w:after="200"/>
      </w:pPr>
      <w:r>
        <w:rPr>
          <w:rFonts w:ascii="Inter" w:hAnsi="Inter" w:eastAsia="Noto Sans CJK JP"/>
          <w:color w:val="53626E"/>
          <w:sz w:val="21"/>
        </w:rPr>
        <w:t>The central object is an experiment, not just a row of attractive colour swatches.</w:t>
      </w:r>
    </w:p>
    <w:p>
      <w:r>
        <w:rPr>
          <w:rFonts w:ascii="Inter" w:hAnsi="Inter" w:eastAsia="Noto Sans CJK JP"/>
        </w:rPr>
        <w:t>The app should let someone start with a colour name, a cultural source, a photograph, a fabric, a garment or a design brief. They can generate many controlled variations, compare them under consistent conditions, record their responses, and return to the exact experiment later.</w:t>
      </w:r>
    </w:p>
    <w:p>
      <w:pPr>
        <w:pStyle w:val="Heading2"/>
      </w:pPr>
      <w:r>
        <w:rPr>
          <w:rFonts w:ascii="Inter" w:hAnsi="Inter" w:eastAsia="Noto Sans CJK JP"/>
        </w:rPr>
        <w:t>Six connected capabilities</w:t>
      </w:r>
    </w:p>
    <w:tbl>
      <w:tblPr>
        <w:tblW w:type="auto" w:w="0"/>
        <w:jc w:val="center"/>
        <w:tblLayout w:type="fixed"/>
        <w:tblLook w:firstColumn="1" w:firstRow="1" w:lastColumn="0" w:lastRow="0" w:noHBand="0" w:noVBand="1" w:val="04A0"/>
      </w:tblPr>
      <w:tblGrid>
        <w:gridCol w:w="2088"/>
        <w:gridCol w:w="7744"/>
      </w:tblGrid>
      <w:tr>
        <w:trPr>
          <w:tblHeader w:val="true"/>
        </w:trPr>
        <w:tc>
          <w:tcPr>
            <w:tcW w:type="dxa" w:w="2088"/>
            <w:shd w:fill="173146"/>
            <w:tcMar>
              <w:top w:w="95" w:type="dxa"/>
              <w:start w:w="105" w:type="dxa"/>
              <w:bottom w:w="95" w:type="dxa"/>
              <w:end w:w="105" w:type="dxa"/>
            </w:tcMar>
          </w:tcPr>
          <w:p>
            <w:pPr>
              <w:widowControl w:val="0"/>
              <w:spacing w:after="0"/>
            </w:pPr>
            <w:r>
              <w:rPr>
                <w:rFonts w:ascii="Inter" w:hAnsi="Inter" w:eastAsia="Noto Sans CJK JP"/>
                <w:b/>
                <w:color w:val="FFFFFF"/>
                <w:sz w:val="18"/>
              </w:rPr>
              <w:t>Capability</w:t>
            </w:r>
          </w:p>
        </w:tc>
        <w:tc>
          <w:tcPr>
            <w:tcW w:type="dxa" w:w="7744"/>
            <w:shd w:fill="173146"/>
            <w:tcMar>
              <w:top w:w="95" w:type="dxa"/>
              <w:start w:w="105" w:type="dxa"/>
              <w:bottom w:w="95" w:type="dxa"/>
              <w:end w:w="105" w:type="dxa"/>
            </w:tcMar>
          </w:tcPr>
          <w:p>
            <w:pPr>
              <w:widowControl w:val="0"/>
              <w:spacing w:after="0"/>
            </w:pPr>
            <w:r>
              <w:rPr>
                <w:rFonts w:ascii="Inter" w:hAnsi="Inter" w:eastAsia="Noto Sans CJK JP"/>
                <w:b/>
                <w:color w:val="FFFFFF"/>
                <w:sz w:val="18"/>
              </w:rPr>
              <w:t>Required outcome</w:t>
            </w:r>
          </w:p>
        </w:tc>
      </w:tr>
      <w:tr>
        <w:trPr>
          <w:cantSplit/>
        </w:trPr>
        <w:tc>
          <w:tcPr>
            <w:tcW w:type="dxa" w:w="2088"/>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Colour science</w:t>
            </w:r>
          </w:p>
        </w:tc>
        <w:tc>
          <w:tcPr>
            <w:tcW w:type="dxa" w:w="7744"/>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Explain and measure relevant colour attributes while preserving colour-space and viewing assumptions.</w:t>
            </w:r>
          </w:p>
        </w:tc>
      </w:tr>
      <w:tr>
        <w:trPr>
          <w:cantSplit/>
        </w:trPr>
        <w:tc>
          <w:tcPr>
            <w:tcW w:type="dxa" w:w="2088"/>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Theories and traditions</w:t>
            </w:r>
          </w:p>
        </w:tc>
        <w:tc>
          <w:tcPr>
            <w:tcW w:type="dxa" w:w="7744"/>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Explore historical design systems and cultural records without pretending that they describe the same kind of relationship.</w:t>
            </w:r>
          </w:p>
        </w:tc>
      </w:tr>
      <w:tr>
        <w:trPr>
          <w:cantSplit/>
        </w:trPr>
        <w:tc>
          <w:tcPr>
            <w:tcW w:type="dxa" w:w="2088"/>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Colour dictionary</w:t>
            </w:r>
          </w:p>
        </w:tc>
        <w:tc>
          <w:tcPr>
            <w:tcW w:type="dxa" w:w="7744"/>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Find names, meanings, materials, sources and multiple representations of a colour concept.</w:t>
            </w:r>
          </w:p>
        </w:tc>
      </w:tr>
      <w:tr>
        <w:trPr>
          <w:cantSplit/>
        </w:trPr>
        <w:tc>
          <w:tcPr>
            <w:tcW w:type="dxa" w:w="2088"/>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Palette laboratory</w:t>
            </w:r>
          </w:p>
        </w:tc>
        <w:tc>
          <w:tcPr>
            <w:tcW w:type="dxa" w:w="7744"/>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Generate, filter, mutate and compare thousands of reproducible candidates.</w:t>
            </w:r>
          </w:p>
        </w:tc>
      </w:tr>
      <w:tr>
        <w:trPr>
          <w:cantSplit/>
        </w:trPr>
        <w:tc>
          <w:tcPr>
            <w:tcW w:type="dxa" w:w="2088"/>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Fashion laboratory</w:t>
            </w:r>
          </w:p>
        </w:tc>
        <w:tc>
          <w:tcPr>
            <w:tcW w:type="dxa" w:w="7744"/>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Apply palettes to the same garment and then vary placement, material, lighting or background deliberately.</w:t>
            </w:r>
          </w:p>
        </w:tc>
      </w:tr>
      <w:tr>
        <w:trPr>
          <w:cantSplit/>
        </w:trPr>
        <w:tc>
          <w:tcPr>
            <w:tcW w:type="dxa" w:w="2088"/>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Evaluation and learning</w:t>
            </w:r>
          </w:p>
        </w:tc>
        <w:tc>
          <w:tcPr>
            <w:tcW w:type="dxa" w:w="7744"/>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Record personal judgement, identify patterns and explain recommendations with appropriate uncertainty.</w:t>
            </w:r>
          </w:p>
        </w:tc>
      </w:tr>
    </w:tbl>
    <w:p>
      <w:pPr>
        <w:spacing w:after="0"/>
      </w:pPr>
    </w:p>
    <w:p>
      <w:pPr>
        <w:pStyle w:val="Heading2"/>
      </w:pPr>
      <w:r>
        <w:rPr>
          <w:rFonts w:ascii="Inter" w:hAnsi="Inter" w:eastAsia="Noto Sans CJK JP"/>
        </w:rPr>
        <w:t>Core experiment loop</w:t>
      </w:r>
    </w:p>
    <w:p>
      <w:r>
        <w:rPr>
          <w:rFonts w:ascii="Inter" w:hAnsi="Inter" w:eastAsia="Noto Sans CJK JP"/>
          <w:b/>
        </w:rPr>
        <w:t>Knowledge → generation → garment application → controlled viewing → measurements → human evaluation → further exploration.</w:t>
      </w:r>
      <w:r>
        <w:rPr>
          <w:rFonts w:ascii="Inter" w:hAnsi="Inter" w:eastAsia="Noto Sans CJK JP"/>
        </w:rPr>
        <w:t xml:space="preserve"> Each arrow must preserve provenance and settings rather than producing an untraceable image.</w:t>
      </w:r>
    </w:p>
    <w:p>
      <w:pPr>
        <w:pStyle w:val="Heading2"/>
      </w:pPr>
      <w:r>
        <w:rPr>
          <w:rFonts w:ascii="Inter" w:hAnsi="Inter" w:eastAsia="Noto Sans CJK JP"/>
        </w:rPr>
        <w:t>Success and non-goals</w:t>
      </w:r>
    </w:p>
    <w:p>
      <w:r>
        <w:rPr>
          <w:rFonts w:ascii="Inter" w:hAnsi="Inter" w:eastAsia="Noto Sans CJK JP"/>
        </w:rPr>
        <w:t>Success means users understand their choices better, can reproduce a promising result, and can distinguish a historical relationship from a generated suggestion. The first release is not a universal beauty-ranking system, a full garment CAD package, a dye formulation service, or a complete archive of every culture’s colour knowledge.</w:t>
      </w:r>
    </w:p>
    <w:p>
      <w:pPr>
        <w:spacing w:before="140" w:after="160"/>
        <w:ind w:left="187" w:right="144"/>
        <w:shd w:fill="EFF5F5"/>
        <w:pBdr>
          <w:left w:val="single" w:sz="18" w:color="146C70" w:space="7"/>
        </w:pBdr>
      </w:pPr>
      <w:r>
        <w:rPr>
          <w:rFonts w:ascii="Inter" w:hAnsi="Inter" w:eastAsia="Noto Sans CJK JP"/>
          <w:b/>
        </w:rPr>
        <w:t>Product principle</w:t>
      </w:r>
      <w:r>
        <w:rPr>
          <w:rFonts w:ascii="Inter" w:hAnsi="Inter" w:eastAsia="Noto Sans CJK JP"/>
        </w:rPr>
        <w:t xml:space="preserve">  Do not confuse a useful rule for making a palette with evidence that the palette will be preferred. Generate hypotheses; give users the means to test them.</w:t>
      </w:r>
    </w:p>
    <w:p>
      <w:r>
        <w:br w:type="page"/>
      </w:r>
    </w:p>
    <w:p>
      <w:pPr>
        <w:spacing w:after="120"/>
      </w:pPr>
      <w:r>
        <w:rPr>
          <w:rFonts w:ascii="Inter" w:hAnsi="Inter" w:eastAsia="Noto Sans CJK JP"/>
          <w:b/>
          <w:color w:val="146C70"/>
          <w:sz w:val="17"/>
        </w:rPr>
        <w:t>A / COLOUR LITERACY</w:t>
      </w:r>
    </w:p>
    <w:p>
      <w:bookmarkStart w:id="4" w:name="sec4"/>
      <w:pPr>
        <w:pStyle w:val="Heading1"/>
      </w:pPr>
      <w:r>
        <w:rPr>
          <w:rFonts w:ascii="Inter" w:hAnsi="Inter" w:eastAsia="Noto Sans CJK JP"/>
        </w:rPr>
        <w:t>2. The language of colour</w:t>
      </w:r>
      <w:bookmarkEnd w:id="4"/>
    </w:p>
    <w:p>
      <w:pPr>
        <w:spacing w:after="200"/>
      </w:pPr>
      <w:r>
        <w:rPr>
          <w:rFonts w:ascii="Inter" w:hAnsi="Inter" w:eastAsia="Noto Sans CJK JP"/>
          <w:color w:val="53626E"/>
          <w:sz w:val="21"/>
        </w:rPr>
        <w:t>The app must teach the distinctions that ordinary colour pickers often hide.</w:t>
      </w:r>
    </w:p>
    <w:p>
      <w:r>
        <w:rPr>
          <w:rFonts w:ascii="Inter" w:hAnsi="Inter" w:eastAsia="Noto Sans CJK JP"/>
        </w:rPr>
        <w:t xml:space="preserve">Colour appearance involves a stimulus and an observer in a viewing environment. A material name or three RGB numbers alone do not fully specify how an object will appear. Colour-appearance models explicitly incorporate aspects of viewing conditions. </w:t>
      </w:r>
      <w:r>
        <w:rPr>
          <w:rFonts w:ascii="Inter" w:hAnsi="Inter" w:eastAsia="Noto Sans CJK JP"/>
          <w:color w:val="146C70"/>
        </w:rPr>
        <w:t>[</w:t>
      </w:r>
      <w:hyperlink w:anchor="ref4">
        <w:r>
          <w:rPr>
            <w:rFonts w:ascii="Inter" w:hAnsi="Inter" w:eastAsia="Noto Sans CJK JP"/>
            <w:color w:val="146C70"/>
            <w:sz w:val="21"/>
            <w:u w:val="single"/>
          </w:rPr>
          <w:t>4</w:t>
        </w:r>
      </w:hyperlink>
      <w:r>
        <w:rPr>
          <w:rFonts w:ascii="Inter" w:hAnsi="Inter" w:eastAsia="Noto Sans CJK JP"/>
          <w:color w:val="146C70"/>
        </w:rPr>
        <w:t>]</w:t>
      </w:r>
    </w:p>
    <w:tbl>
      <w:tblPr>
        <w:tblW w:type="auto" w:w="0"/>
        <w:jc w:val="center"/>
        <w:tblLayout w:type="fixed"/>
        <w:tblLook w:firstColumn="1" w:firstRow="1" w:lastColumn="0" w:lastRow="0" w:noHBand="0" w:noVBand="1" w:val="04A0"/>
      </w:tblPr>
      <w:tblGrid>
        <w:gridCol w:w="1829"/>
        <w:gridCol w:w="8003"/>
      </w:tblGrid>
      <w:tr>
        <w:trPr>
          <w:tblHeader w:val="true"/>
        </w:trPr>
        <w:tc>
          <w:tcPr>
            <w:tcW w:type="dxa" w:w="1829"/>
            <w:shd w:fill="173146"/>
            <w:tcMar>
              <w:top w:w="95" w:type="dxa"/>
              <w:start w:w="105" w:type="dxa"/>
              <w:bottom w:w="95" w:type="dxa"/>
              <w:end w:w="105" w:type="dxa"/>
            </w:tcMar>
          </w:tcPr>
          <w:p>
            <w:pPr>
              <w:widowControl w:val="0"/>
              <w:spacing w:after="0"/>
            </w:pPr>
            <w:r>
              <w:rPr>
                <w:rFonts w:ascii="Inter" w:hAnsi="Inter" w:eastAsia="Noto Sans CJK JP"/>
                <w:b/>
                <w:color w:val="FFFFFF"/>
                <w:sz w:val="18"/>
              </w:rPr>
              <w:t>Term</w:t>
            </w:r>
          </w:p>
        </w:tc>
        <w:tc>
          <w:tcPr>
            <w:tcW w:type="dxa" w:w="8003"/>
            <w:shd w:fill="173146"/>
            <w:tcMar>
              <w:top w:w="95" w:type="dxa"/>
              <w:start w:w="105" w:type="dxa"/>
              <w:bottom w:w="95" w:type="dxa"/>
              <w:end w:w="105" w:type="dxa"/>
            </w:tcMar>
          </w:tcPr>
          <w:p>
            <w:pPr>
              <w:widowControl w:val="0"/>
              <w:spacing w:after="0"/>
            </w:pPr>
            <w:r>
              <w:rPr>
                <w:rFonts w:ascii="Inter" w:hAnsi="Inter" w:eastAsia="Noto Sans CJK JP"/>
                <w:b/>
                <w:color w:val="FFFFFF"/>
                <w:sz w:val="18"/>
              </w:rPr>
              <w:t>Meaning and product implication</w:t>
            </w:r>
          </w:p>
        </w:tc>
      </w:tr>
      <w:tr>
        <w:trPr>
          <w:cantSplit/>
        </w:trPr>
        <w:tc>
          <w:tcPr>
            <w:tcW w:type="dxa" w:w="182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Hue</w:t>
            </w:r>
          </w:p>
        </w:tc>
        <w:tc>
          <w:tcPr>
            <w:tcW w:type="dxa" w:w="800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 xml:space="preserve">The red, yellow, green, blue and related character of a colour. Use circular controls; a hue value becomes unstable or unhelpful near neutral. </w:t>
            </w:r>
            <w:r>
              <w:rPr>
                <w:rFonts w:ascii="Inter" w:hAnsi="Inter" w:eastAsia="Noto Sans CJK JP"/>
                <w:color w:val="146C70"/>
                <w:sz w:val="18"/>
              </w:rPr>
              <w:t>[</w:t>
            </w:r>
            <w:hyperlink w:anchor="ref1">
              <w:r>
                <w:rPr>
                  <w:rFonts w:ascii="Inter" w:hAnsi="Inter" w:eastAsia="Noto Sans CJK JP"/>
                  <w:color w:val="146C70"/>
                  <w:sz w:val="18"/>
                  <w:u w:val="single"/>
                </w:rPr>
                <w:t>1</w:t>
              </w:r>
            </w:hyperlink>
            <w:r>
              <w:rPr>
                <w:rFonts w:ascii="Inter" w:hAnsi="Inter" w:eastAsia="Noto Sans CJK JP"/>
                <w:color w:val="146C70"/>
                <w:sz w:val="18"/>
              </w:rPr>
              <w:t>]</w:t>
            </w:r>
          </w:p>
        </w:tc>
      </w:tr>
      <w:tr>
        <w:trPr>
          <w:cantSplit/>
        </w:trPr>
        <w:tc>
          <w:tcPr>
            <w:tcW w:type="dxa" w:w="1829"/>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Lightness</w:t>
            </w:r>
          </w:p>
        </w:tc>
        <w:tc>
          <w:tcPr>
            <w:tcW w:type="dxa" w:w="800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 xml:space="preserve">Perceived brightness relative to a similarly illuminated reference white. Do not equate it with emitted light or an arbitrary slider labelled “brightness”. </w:t>
            </w:r>
            <w:r>
              <w:rPr>
                <w:rFonts w:ascii="Inter" w:hAnsi="Inter" w:eastAsia="Noto Sans CJK JP"/>
                <w:color w:val="146C70"/>
                <w:sz w:val="18"/>
              </w:rPr>
              <w:t>[</w:t>
            </w:r>
            <w:hyperlink w:anchor="ref1">
              <w:r>
                <w:rPr>
                  <w:rFonts w:ascii="Inter" w:hAnsi="Inter" w:eastAsia="Noto Sans CJK JP"/>
                  <w:color w:val="146C70"/>
                  <w:sz w:val="18"/>
                  <w:u w:val="single"/>
                </w:rPr>
                <w:t>1</w:t>
              </w:r>
            </w:hyperlink>
            <w:r>
              <w:rPr>
                <w:rFonts w:ascii="Inter" w:hAnsi="Inter" w:eastAsia="Noto Sans CJK JP"/>
                <w:color w:val="146C70"/>
                <w:sz w:val="18"/>
              </w:rPr>
              <w:t>]</w:t>
            </w:r>
          </w:p>
        </w:tc>
      </w:tr>
      <w:tr>
        <w:trPr>
          <w:cantSplit/>
        </w:trPr>
        <w:tc>
          <w:tcPr>
            <w:tcW w:type="dxa" w:w="182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Brightness / luminance</w:t>
            </w:r>
          </w:p>
        </w:tc>
        <w:tc>
          <w:tcPr>
            <w:tcW w:type="dxa" w:w="800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 xml:space="preserve">Brightness is a perceptual attribute; luminance is a photometric quantity. Store the quantity and units actually used, rather than using the terms interchangeably. </w:t>
            </w:r>
            <w:r>
              <w:rPr>
                <w:rFonts w:ascii="Inter" w:hAnsi="Inter" w:eastAsia="Noto Sans CJK JP"/>
                <w:color w:val="146C70"/>
                <w:sz w:val="18"/>
              </w:rPr>
              <w:t>[</w:t>
            </w:r>
            <w:hyperlink w:anchor="ref1">
              <w:r>
                <w:rPr>
                  <w:rFonts w:ascii="Inter" w:hAnsi="Inter" w:eastAsia="Noto Sans CJK JP"/>
                  <w:color w:val="146C70"/>
                  <w:sz w:val="18"/>
                  <w:u w:val="single"/>
                </w:rPr>
                <w:t>1</w:t>
              </w:r>
            </w:hyperlink>
            <w:r>
              <w:rPr>
                <w:rFonts w:ascii="Inter" w:hAnsi="Inter" w:eastAsia="Noto Sans CJK JP"/>
                <w:color w:val="146C70"/>
                <w:sz w:val="18"/>
              </w:rPr>
              <w:t>]</w:t>
            </w:r>
          </w:p>
        </w:tc>
      </w:tr>
      <w:tr>
        <w:trPr>
          <w:cantSplit/>
        </w:trPr>
        <w:tc>
          <w:tcPr>
            <w:tcW w:type="dxa" w:w="1829"/>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Chroma / saturation</w:t>
            </w:r>
          </w:p>
        </w:tc>
        <w:tc>
          <w:tcPr>
            <w:tcW w:type="dxa" w:w="800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 xml:space="preserve">Chroma relates colourfulness to a reference white; saturation relates it to the stimulus’s own brightness. They are not identical controls. </w:t>
            </w:r>
            <w:r>
              <w:rPr>
                <w:rFonts w:ascii="Inter" w:hAnsi="Inter" w:eastAsia="Noto Sans CJK JP"/>
                <w:color w:val="146C70"/>
                <w:sz w:val="18"/>
              </w:rPr>
              <w:t>[</w:t>
            </w:r>
            <w:hyperlink w:anchor="ref1">
              <w:r>
                <w:rPr>
                  <w:rFonts w:ascii="Inter" w:hAnsi="Inter" w:eastAsia="Noto Sans CJK JP"/>
                  <w:color w:val="146C70"/>
                  <w:sz w:val="18"/>
                  <w:u w:val="single"/>
                </w:rPr>
                <w:t>1</w:t>
              </w:r>
            </w:hyperlink>
            <w:r>
              <w:rPr>
                <w:rFonts w:ascii="Inter" w:hAnsi="Inter" w:eastAsia="Noto Sans CJK JP"/>
                <w:color w:val="146C70"/>
                <w:sz w:val="18"/>
              </w:rPr>
              <w:t>]</w:t>
            </w:r>
          </w:p>
        </w:tc>
      </w:tr>
      <w:tr>
        <w:trPr>
          <w:cantSplit/>
        </w:trPr>
        <w:tc>
          <w:tcPr>
            <w:tcW w:type="dxa" w:w="182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Value</w:t>
            </w:r>
          </w:p>
        </w:tc>
        <w:tc>
          <w:tcPr>
            <w:tcW w:type="dxa" w:w="800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 xml:space="preserve">A term used by systems such as Munsell and HSV, with different definitions. Always say which system is intended. </w:t>
            </w:r>
            <w:r>
              <w:rPr>
                <w:rFonts w:ascii="Inter" w:hAnsi="Inter" w:eastAsia="Noto Sans CJK JP"/>
                <w:color w:val="146C70"/>
                <w:sz w:val="18"/>
              </w:rPr>
              <w:t>[</w:t>
            </w:r>
            <w:hyperlink w:anchor="ref8">
              <w:r>
                <w:rPr>
                  <w:rFonts w:ascii="Inter" w:hAnsi="Inter" w:eastAsia="Noto Sans CJK JP"/>
                  <w:color w:val="146C70"/>
                  <w:sz w:val="18"/>
                  <w:u w:val="single"/>
                </w:rPr>
                <w:t>8</w:t>
              </w:r>
            </w:hyperlink>
            <w:r>
              <w:rPr>
                <w:rFonts w:ascii="Inter" w:hAnsi="Inter" w:eastAsia="Noto Sans CJK JP"/>
                <w:color w:val="146C70"/>
                <w:sz w:val="18"/>
              </w:rPr>
              <w:t xml:space="preserve">, </w:t>
            </w:r>
            <w:hyperlink w:anchor="ref17">
              <w:r>
                <w:rPr>
                  <w:rFonts w:ascii="Inter" w:hAnsi="Inter" w:eastAsia="Noto Sans CJK JP"/>
                  <w:color w:val="146C70"/>
                  <w:sz w:val="18"/>
                  <w:u w:val="single"/>
                </w:rPr>
                <w:t>17</w:t>
              </w:r>
            </w:hyperlink>
            <w:r>
              <w:rPr>
                <w:rFonts w:ascii="Inter" w:hAnsi="Inter" w:eastAsia="Noto Sans CJK JP"/>
                <w:color w:val="146C70"/>
                <w:sz w:val="18"/>
              </w:rPr>
              <w:t>]</w:t>
            </w:r>
          </w:p>
        </w:tc>
      </w:tr>
      <w:tr>
        <w:trPr>
          <w:cantSplit/>
        </w:trPr>
        <w:tc>
          <w:tcPr>
            <w:tcW w:type="dxa" w:w="1829"/>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Warm / cool</w:t>
            </w:r>
          </w:p>
        </w:tc>
        <w:tc>
          <w:tcPr>
            <w:tcW w:type="dxa" w:w="800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 xml:space="preserve">A contextual design description, not a universal numerical property of every colour. Keep it separate from correlated colour temperature, measured in kelvin. </w:t>
            </w:r>
            <w:r>
              <w:rPr>
                <w:rFonts w:ascii="Inter" w:hAnsi="Inter" w:eastAsia="Noto Sans CJK JP"/>
                <w:color w:val="146C70"/>
                <w:sz w:val="18"/>
              </w:rPr>
              <w:t>[</w:t>
            </w:r>
            <w:hyperlink w:anchor="ref5">
              <w:r>
                <w:rPr>
                  <w:rFonts w:ascii="Inter" w:hAnsi="Inter" w:eastAsia="Noto Sans CJK JP"/>
                  <w:color w:val="146C70"/>
                  <w:sz w:val="18"/>
                  <w:u w:val="single"/>
                </w:rPr>
                <w:t>5</w:t>
              </w:r>
            </w:hyperlink>
            <w:r>
              <w:rPr>
                <w:rFonts w:ascii="Inter" w:hAnsi="Inter" w:eastAsia="Noto Sans CJK JP"/>
                <w:color w:val="146C70"/>
                <w:sz w:val="18"/>
              </w:rPr>
              <w:t>]</w:t>
            </w:r>
          </w:p>
        </w:tc>
      </w:tr>
      <w:tr>
        <w:trPr>
          <w:cantSplit/>
        </w:trPr>
        <w:tc>
          <w:tcPr>
            <w:tcW w:type="dxa" w:w="182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Neutral / near-neutral</w:t>
            </w:r>
          </w:p>
        </w:tc>
        <w:tc>
          <w:tcPr>
            <w:tcW w:type="dxa" w:w="800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Operational categories for the app. A chroma cutoff depends on the chosen space and task; expose that threshold rather than hiding a claim of objectivity.</w:t>
            </w:r>
          </w:p>
        </w:tc>
      </w:tr>
    </w:tbl>
    <w:p>
      <w:pPr>
        <w:spacing w:after="0"/>
      </w:pPr>
    </w:p>
    <w:p>
      <w:pPr>
        <w:pStyle w:val="Heading2"/>
      </w:pPr>
      <w:r>
        <w:rPr>
          <w:rFonts w:ascii="Inter" w:hAnsi="Inter" w:eastAsia="Noto Sans CJK JP"/>
        </w:rPr>
        <w:t>Three practical controls</w:t>
      </w:r>
    </w:p>
    <w:p>
      <w:r>
        <w:rPr>
          <w:rFonts w:ascii="Inter" w:hAnsi="Inter" w:eastAsia="Noto Sans CJK JP"/>
        </w:rPr>
        <w:t>Start with hue, lightness and chroma. Let users lock two while varying the third. Add an explicit choice of colour space and a visible gamut warning. The lesson is to compare what changes visually, not merely to watch numbers move.</w:t>
      </w:r>
    </w:p>
    <w:p>
      <w:pPr>
        <w:spacing w:before="140" w:after="160"/>
        <w:ind w:left="187" w:right="144"/>
        <w:shd w:fill="EFF5F5"/>
        <w:pBdr>
          <w:left w:val="single" w:sz="18" w:color="146C70" w:space="7"/>
        </w:pBdr>
      </w:pPr>
      <w:r>
        <w:rPr>
          <w:rFonts w:ascii="Inter" w:hAnsi="Inter" w:eastAsia="Noto Sans CJK JP"/>
          <w:b/>
        </w:rPr>
        <w:t>Vocabulary rule</w:t>
      </w:r>
      <w:r>
        <w:rPr>
          <w:rFonts w:ascii="Inter" w:hAnsi="Inter" w:eastAsia="Noto Sans CJK JP"/>
        </w:rPr>
        <w:t xml:space="preserve">  Names in the interface must match the underlying calculation. “HSL saturation”, “OKLCh chroma” and “Munsell value” are different quantities, not interchangeable labels.</w:t>
      </w:r>
    </w:p>
    <w:p>
      <w:pPr>
        <w:pStyle w:val="Heading2"/>
      </w:pPr>
      <w:r>
        <w:rPr>
          <w:rFonts w:ascii="Inter" w:hAnsi="Inter" w:eastAsia="Noto Sans CJK JP"/>
        </w:rPr>
        <w:t>Additional learning topics</w:t>
      </w:r>
    </w:p>
    <w:p>
      <w:r>
        <w:rPr>
          <w:rFonts w:ascii="Inter" w:hAnsi="Inter" w:eastAsia="Noto Sans CJK JP"/>
        </w:rPr>
        <w:t>The curriculum should also cover tints, shades and tones; additive and subtractive mixing; chromatic adaptation; simultaneous contrast; afterimages; and pattern-scale effects. Each topic needs a validated explanation and an original interactive exercise.</w:t>
      </w:r>
    </w:p>
    <w:p>
      <w:r>
        <w:br w:type="page"/>
      </w:r>
    </w:p>
    <w:p>
      <w:pPr>
        <w:spacing w:after="120"/>
      </w:pPr>
      <w:r>
        <w:rPr>
          <w:rFonts w:ascii="Inter" w:hAnsi="Inter" w:eastAsia="Noto Sans CJK JP"/>
          <w:b/>
          <w:color w:val="146C70"/>
          <w:sz w:val="17"/>
        </w:rPr>
        <w:t>A / COLOUR REPRESENTATION</w:t>
      </w:r>
    </w:p>
    <w:p>
      <w:bookmarkStart w:id="5" w:name="sec5"/>
      <w:pPr>
        <w:pStyle w:val="Heading1"/>
      </w:pPr>
      <w:r>
        <w:rPr>
          <w:rFonts w:ascii="Inter" w:hAnsi="Inter" w:eastAsia="Noto Sans CJK JP"/>
        </w:rPr>
        <w:t>3. Models, spaces and colour systems</w:t>
      </w:r>
      <w:bookmarkEnd w:id="5"/>
    </w:p>
    <w:p>
      <w:pPr>
        <w:spacing w:after="200"/>
      </w:pPr>
      <w:r>
        <w:rPr>
          <w:rFonts w:ascii="Inter" w:hAnsi="Inter" w:eastAsia="Noto Sans CJK JP"/>
          <w:color w:val="53626E"/>
          <w:sz w:val="21"/>
        </w:rPr>
        <w:t>Preserve original information; create display-ready representations as derived outputs.</w:t>
      </w:r>
    </w:p>
    <w:tbl>
      <w:tblPr>
        <w:tblW w:type="auto" w:w="0"/>
        <w:jc w:val="center"/>
        <w:tblLayout w:type="fixed"/>
        <w:tblLook w:firstColumn="1" w:firstRow="1" w:lastColumn="0" w:lastRow="0" w:noHBand="0" w:noVBand="1" w:val="04A0"/>
      </w:tblPr>
      <w:tblGrid>
        <w:gridCol w:w="1800"/>
        <w:gridCol w:w="3715"/>
        <w:gridCol w:w="4317"/>
      </w:tblGrid>
      <w:tr>
        <w:trPr>
          <w:tblHeader w:val="true"/>
        </w:trPr>
        <w:tc>
          <w:tcPr>
            <w:tcW w:type="dxa" w:w="1800"/>
            <w:shd w:fill="173146"/>
            <w:tcMar>
              <w:top w:w="95" w:type="dxa"/>
              <w:start w:w="105" w:type="dxa"/>
              <w:bottom w:w="95" w:type="dxa"/>
              <w:end w:w="105" w:type="dxa"/>
            </w:tcMar>
          </w:tcPr>
          <w:p>
            <w:pPr>
              <w:widowControl w:val="0"/>
              <w:spacing w:after="0"/>
            </w:pPr>
            <w:r>
              <w:rPr>
                <w:rFonts w:ascii="Inter" w:hAnsi="Inter" w:eastAsia="Noto Sans CJK JP"/>
                <w:b/>
                <w:color w:val="FFFFFF"/>
                <w:sz w:val="18"/>
              </w:rPr>
              <w:t>Representation</w:t>
            </w:r>
          </w:p>
        </w:tc>
        <w:tc>
          <w:tcPr>
            <w:tcW w:type="dxa" w:w="3715"/>
            <w:shd w:fill="173146"/>
            <w:tcMar>
              <w:top w:w="95" w:type="dxa"/>
              <w:start w:w="105" w:type="dxa"/>
              <w:bottom w:w="95" w:type="dxa"/>
              <w:end w:w="105" w:type="dxa"/>
            </w:tcMar>
          </w:tcPr>
          <w:p>
            <w:pPr>
              <w:widowControl w:val="0"/>
              <w:spacing w:after="0"/>
            </w:pPr>
            <w:r>
              <w:rPr>
                <w:rFonts w:ascii="Inter" w:hAnsi="Inter" w:eastAsia="Noto Sans CJK JP"/>
                <w:b/>
                <w:color w:val="FFFFFF"/>
                <w:sz w:val="18"/>
              </w:rPr>
              <w:t>Role in the app</w:t>
            </w:r>
          </w:p>
        </w:tc>
        <w:tc>
          <w:tcPr>
            <w:tcW w:type="dxa" w:w="4317"/>
            <w:shd w:fill="173146"/>
            <w:tcMar>
              <w:top w:w="95" w:type="dxa"/>
              <w:start w:w="105" w:type="dxa"/>
              <w:bottom w:w="95" w:type="dxa"/>
              <w:end w:w="105" w:type="dxa"/>
            </w:tcMar>
          </w:tcPr>
          <w:p>
            <w:pPr>
              <w:widowControl w:val="0"/>
              <w:spacing w:after="0"/>
            </w:pPr>
            <w:r>
              <w:rPr>
                <w:rFonts w:ascii="Inter" w:hAnsi="Inter" w:eastAsia="Noto Sans CJK JP"/>
                <w:b/>
                <w:color w:val="FFFFFF"/>
                <w:sz w:val="18"/>
              </w:rPr>
              <w:t>Main caution</w:t>
            </w:r>
          </w:p>
        </w:tc>
      </w:tr>
      <w:tr>
        <w:trPr>
          <w:cantSplit/>
        </w:trPr>
        <w:tc>
          <w:tcPr>
            <w:tcW w:type="dxa" w:w="1800"/>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RGB; sRGB / Display P3</w:t>
            </w:r>
          </w:p>
        </w:tc>
        <w:tc>
          <w:tcPr>
            <w:tcW w:type="dxa" w:w="3715"/>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Display, import, browser output and image assets.</w:t>
            </w:r>
          </w:p>
        </w:tc>
        <w:tc>
          <w:tcPr>
            <w:tcW w:type="dxa" w:w="4317"/>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RGB needs a specified space and encoding. Three channel values alone are incomplete.</w:t>
            </w:r>
          </w:p>
        </w:tc>
      </w:tr>
      <w:tr>
        <w:trPr>
          <w:cantSplit/>
        </w:trPr>
        <w:tc>
          <w:tcPr>
            <w:tcW w:type="dxa" w:w="1800"/>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HSL / HSV</w:t>
            </w:r>
          </w:p>
        </w:tc>
        <w:tc>
          <w:tcPr>
            <w:tcW w:type="dxa" w:w="3715"/>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Familiar controls and comparison with existing tools.</w:t>
            </w:r>
          </w:p>
        </w:tc>
        <w:tc>
          <w:tcPr>
            <w:tcW w:type="dxa" w:w="4317"/>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Equal slider changes do not imply equal perceptual changes.</w:t>
            </w:r>
          </w:p>
        </w:tc>
      </w:tr>
      <w:tr>
        <w:trPr>
          <w:cantSplit/>
        </w:trPr>
        <w:tc>
          <w:tcPr>
            <w:tcW w:type="dxa" w:w="1800"/>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CIE XYZ</w:t>
            </w:r>
          </w:p>
        </w:tc>
        <w:tc>
          <w:tcPr>
            <w:tcW w:type="dxa" w:w="3715"/>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Conversion and measurement interchange.</w:t>
            </w:r>
          </w:p>
        </w:tc>
        <w:tc>
          <w:tcPr>
            <w:tcW w:type="dxa" w:w="4317"/>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Retain white point, observer and relevant measurement conditions.</w:t>
            </w:r>
          </w:p>
        </w:tc>
      </w:tr>
      <w:tr>
        <w:trPr>
          <w:cantSplit/>
        </w:trPr>
        <w:tc>
          <w:tcPr>
            <w:tcW w:type="dxa" w:w="1800"/>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CIELAB / CIELCh</w:t>
            </w:r>
          </w:p>
        </w:tc>
        <w:tc>
          <w:tcPr>
            <w:tcW w:type="dxa" w:w="3715"/>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Established lightness, opponent axes and cylindrical form.</w:t>
            </w:r>
          </w:p>
        </w:tc>
        <w:tc>
          <w:tcPr>
            <w:tcW w:type="dxa" w:w="4317"/>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Approximately uniform, not perfectly uniform; values depend on reference white.</w:t>
            </w:r>
          </w:p>
        </w:tc>
      </w:tr>
      <w:tr>
        <w:trPr>
          <w:cantSplit/>
        </w:trPr>
        <w:tc>
          <w:tcPr>
            <w:tcW w:type="dxa" w:w="1800"/>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OKLab / OKLCh</w:t>
            </w:r>
          </w:p>
        </w:tc>
        <w:tc>
          <w:tcPr>
            <w:tcW w:type="dxa" w:w="3715"/>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Proposed working space for palette exploration and interpolation.</w:t>
            </w:r>
          </w:p>
        </w:tc>
        <w:tc>
          <w:tcPr>
            <w:tcW w:type="dxa" w:w="4317"/>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An approximation for perceptual use, not a beauty model or a spectral material model.</w:t>
            </w:r>
          </w:p>
        </w:tc>
      </w:tr>
      <w:tr>
        <w:trPr>
          <w:cantSplit/>
        </w:trPr>
        <w:tc>
          <w:tcPr>
            <w:tcW w:type="dxa" w:w="1800"/>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Munsell notation</w:t>
            </w:r>
          </w:p>
        </w:tc>
        <w:tc>
          <w:tcPr>
            <w:tcW w:type="dxa" w:w="3715"/>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A colour-order system organised by hue, value and chroma.</w:t>
            </w:r>
          </w:p>
        </w:tc>
        <w:tc>
          <w:tcPr>
            <w:tcW w:type="dxa" w:w="4317"/>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Do not invent an exact RGB equivalent without a documented conversion source.</w:t>
            </w:r>
          </w:p>
        </w:tc>
      </w:tr>
      <w:tr>
        <w:trPr>
          <w:cantSplit/>
        </w:trPr>
        <w:tc>
          <w:tcPr>
            <w:tcW w:type="dxa" w:w="1800"/>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CMYK + profile</w:t>
            </w:r>
          </w:p>
        </w:tc>
        <w:tc>
          <w:tcPr>
            <w:tcW w:type="dxa" w:w="3715"/>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Print-oriented output when an appropriate workflow is known.</w:t>
            </w:r>
          </w:p>
        </w:tc>
        <w:tc>
          <w:tcPr>
            <w:tcW w:type="dxa" w:w="4317"/>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CMYK values are not portable across arbitrary presses, inks or substrates.</w:t>
            </w:r>
          </w:p>
        </w:tc>
      </w:tr>
      <w:tr>
        <w:trPr>
          <w:cantSplit/>
        </w:trPr>
        <w:tc>
          <w:tcPr>
            <w:tcW w:type="dxa" w:w="1800"/>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Spectral data</w:t>
            </w:r>
          </w:p>
        </w:tc>
        <w:tc>
          <w:tcPr>
            <w:tcW w:type="dxa" w:w="3715"/>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Measured reflectance, transmittance or source power distributions.</w:t>
            </w:r>
          </w:p>
        </w:tc>
        <w:tc>
          <w:tcPr>
            <w:tcW w:type="dxa" w:w="4317"/>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Requires wavelengths, units, sampling and measurement metadata.</w:t>
            </w:r>
          </w:p>
        </w:tc>
      </w:tr>
    </w:tbl>
    <w:p>
      <w:pPr>
        <w:spacing w:after="0"/>
      </w:pPr>
    </w:p>
    <w:p>
      <w:r>
        <w:rPr>
          <w:rFonts w:ascii="Inter" w:hAnsi="Inter" w:eastAsia="Noto Sans CJK JP"/>
        </w:rPr>
        <w:t xml:space="preserve">These roles follow the relevant standards and documentation; the choice of OKLCh for the first exploration engine is a product proposal. </w:t>
      </w:r>
      <w:r>
        <w:rPr>
          <w:rFonts w:ascii="Inter" w:hAnsi="Inter" w:eastAsia="Noto Sans CJK JP"/>
          <w:color w:val="146C70"/>
        </w:rPr>
        <w:t>[</w:t>
      </w:r>
      <w:hyperlink w:anchor="ref2">
        <w:r>
          <w:rPr>
            <w:rFonts w:ascii="Inter" w:hAnsi="Inter" w:eastAsia="Noto Sans CJK JP"/>
            <w:color w:val="146C70"/>
            <w:sz w:val="21"/>
            <w:u w:val="single"/>
          </w:rPr>
          <w:t>2</w:t>
        </w:r>
      </w:hyperlink>
      <w:r>
        <w:rPr>
          <w:rFonts w:ascii="Inter" w:hAnsi="Inter" w:eastAsia="Noto Sans CJK JP"/>
          <w:color w:val="146C70"/>
        </w:rPr>
        <w:t xml:space="preserve">, </w:t>
      </w:r>
      <w:hyperlink w:anchor="ref6">
        <w:r>
          <w:rPr>
            <w:rFonts w:ascii="Inter" w:hAnsi="Inter" w:eastAsia="Noto Sans CJK JP"/>
            <w:color w:val="146C70"/>
            <w:sz w:val="21"/>
            <w:u w:val="single"/>
          </w:rPr>
          <w:t>6</w:t>
        </w:r>
      </w:hyperlink>
      <w:r>
        <w:rPr>
          <w:rFonts w:ascii="Inter" w:hAnsi="Inter" w:eastAsia="Noto Sans CJK JP"/>
          <w:color w:val="146C70"/>
        </w:rPr>
        <w:t xml:space="preserve">, </w:t>
      </w:r>
      <w:hyperlink w:anchor="ref7">
        <w:r>
          <w:rPr>
            <w:rFonts w:ascii="Inter" w:hAnsi="Inter" w:eastAsia="Noto Sans CJK JP"/>
            <w:color w:val="146C70"/>
            <w:sz w:val="21"/>
            <w:u w:val="single"/>
          </w:rPr>
          <w:t>7</w:t>
        </w:r>
      </w:hyperlink>
      <w:r>
        <w:rPr>
          <w:rFonts w:ascii="Inter" w:hAnsi="Inter" w:eastAsia="Noto Sans CJK JP"/>
          <w:color w:val="146C70"/>
        </w:rPr>
        <w:t xml:space="preserve">, </w:t>
      </w:r>
      <w:hyperlink w:anchor="ref8">
        <w:r>
          <w:rPr>
            <w:rFonts w:ascii="Inter" w:hAnsi="Inter" w:eastAsia="Noto Sans CJK JP"/>
            <w:color w:val="146C70"/>
            <w:sz w:val="21"/>
            <w:u w:val="single"/>
          </w:rPr>
          <w:t>8</w:t>
        </w:r>
      </w:hyperlink>
      <w:r>
        <w:rPr>
          <w:rFonts w:ascii="Inter" w:hAnsi="Inter" w:eastAsia="Noto Sans CJK JP"/>
          <w:color w:val="146C70"/>
        </w:rPr>
        <w:t xml:space="preserve">, </w:t>
      </w:r>
      <w:hyperlink w:anchor="ref12">
        <w:r>
          <w:rPr>
            <w:rFonts w:ascii="Inter" w:hAnsi="Inter" w:eastAsia="Noto Sans CJK JP"/>
            <w:color w:val="146C70"/>
            <w:sz w:val="21"/>
            <w:u w:val="single"/>
          </w:rPr>
          <w:t>12</w:t>
        </w:r>
      </w:hyperlink>
      <w:r>
        <w:rPr>
          <w:rFonts w:ascii="Inter" w:hAnsi="Inter" w:eastAsia="Noto Sans CJK JP"/>
          <w:color w:val="146C70"/>
        </w:rPr>
        <w:t xml:space="preserve">, </w:t>
      </w:r>
      <w:hyperlink w:anchor="ref13">
        <w:r>
          <w:rPr>
            <w:rFonts w:ascii="Inter" w:hAnsi="Inter" w:eastAsia="Noto Sans CJK JP"/>
            <w:color w:val="146C70"/>
            <w:sz w:val="21"/>
            <w:u w:val="single"/>
          </w:rPr>
          <w:t>13</w:t>
        </w:r>
      </w:hyperlink>
      <w:r>
        <w:rPr>
          <w:rFonts w:ascii="Inter" w:hAnsi="Inter" w:eastAsia="Noto Sans CJK JP"/>
          <w:color w:val="146C70"/>
        </w:rPr>
        <w:t xml:space="preserve">, </w:t>
      </w:r>
      <w:hyperlink w:anchor="ref17">
        <w:r>
          <w:rPr>
            <w:rFonts w:ascii="Inter" w:hAnsi="Inter" w:eastAsia="Noto Sans CJK JP"/>
            <w:color w:val="146C70"/>
            <w:sz w:val="21"/>
            <w:u w:val="single"/>
          </w:rPr>
          <w:t>17</w:t>
        </w:r>
      </w:hyperlink>
      <w:r>
        <w:rPr>
          <w:rFonts w:ascii="Inter" w:hAnsi="Inter" w:eastAsia="Noto Sans CJK JP"/>
          <w:color w:val="146C70"/>
        </w:rPr>
        <w:t>]</w:t>
      </w:r>
    </w:p>
    <w:p>
      <w:pPr>
        <w:pStyle w:val="Heading2"/>
      </w:pPr>
      <w:r>
        <w:rPr>
          <w:rFonts w:ascii="Inter" w:hAnsi="Inter" w:eastAsia="Noto Sans CJK JP"/>
        </w:rPr>
        <w:t>Reading the coordinates</w:t>
      </w:r>
    </w:p>
    <w:p>
      <w:r>
        <w:rPr>
          <w:rFonts w:ascii="Inter" w:hAnsi="Inter" w:eastAsia="Noto Sans CJK JP"/>
        </w:rPr>
        <w:t xml:space="preserve">In CIELAB, </w:t>
      </w:r>
      <w:r>
        <w:rPr>
          <w:rFonts w:ascii="Inter" w:hAnsi="Inter" w:eastAsia="Noto Sans CJK JP"/>
          <w:b/>
        </w:rPr>
        <w:t>L</w:t>
      </w:r>
      <w:r>
        <w:rPr>
          <w:rFonts w:ascii="Inter" w:hAnsi="Inter" w:eastAsia="Noto Sans CJK JP"/>
        </w:rPr>
        <w:t xml:space="preserve">* represents lightness; </w:t>
      </w:r>
      <w:r>
        <w:rPr>
          <w:rFonts w:ascii="Inter" w:hAnsi="Inter" w:eastAsia="Noto Sans CJK JP"/>
          <w:b/>
        </w:rPr>
        <w:t>a</w:t>
      </w:r>
      <w:r>
        <w:rPr>
          <w:rFonts w:ascii="Inter" w:hAnsi="Inter" w:eastAsia="Noto Sans CJK JP"/>
        </w:rPr>
        <w:t xml:space="preserve">* runs from greenward (negative) to redward (positive); </w:t>
      </w:r>
      <w:r>
        <w:rPr>
          <w:rFonts w:ascii="Inter" w:hAnsi="Inter" w:eastAsia="Noto Sans CJK JP"/>
          <w:b/>
        </w:rPr>
        <w:t>b</w:t>
      </w:r>
      <w:r>
        <w:rPr>
          <w:rFonts w:ascii="Inter" w:hAnsi="Inter" w:eastAsia="Noto Sans CJK JP"/>
        </w:rPr>
        <w:t xml:space="preserve">* runs from blueward (negative) to yellowward (positive). CIELCh expresses the same chromatic plane as chroma and hue angle. </w:t>
      </w:r>
      <w:r>
        <w:rPr>
          <w:rFonts w:ascii="Inter" w:hAnsi="Inter" w:eastAsia="Noto Sans CJK JP"/>
          <w:color w:val="146C70"/>
        </w:rPr>
        <w:t>[</w:t>
      </w:r>
      <w:hyperlink w:anchor="ref2">
        <w:r>
          <w:rPr>
            <w:rFonts w:ascii="Inter" w:hAnsi="Inter" w:eastAsia="Noto Sans CJK JP"/>
            <w:color w:val="146C70"/>
            <w:sz w:val="21"/>
            <w:u w:val="single"/>
          </w:rPr>
          <w:t>2</w:t>
        </w:r>
      </w:hyperlink>
      <w:r>
        <w:rPr>
          <w:rFonts w:ascii="Inter" w:hAnsi="Inter" w:eastAsia="Noto Sans CJK JP"/>
          <w:color w:val="146C70"/>
        </w:rPr>
        <w:t xml:space="preserve">, </w:t>
      </w:r>
      <w:hyperlink w:anchor="ref6">
        <w:r>
          <w:rPr>
            <w:rFonts w:ascii="Inter" w:hAnsi="Inter" w:eastAsia="Noto Sans CJK JP"/>
            <w:color w:val="146C70"/>
            <w:sz w:val="21"/>
            <w:u w:val="single"/>
          </w:rPr>
          <w:t>6</w:t>
        </w:r>
      </w:hyperlink>
      <w:r>
        <w:rPr>
          <w:rFonts w:ascii="Inter" w:hAnsi="Inter" w:eastAsia="Noto Sans CJK JP"/>
          <w:color w:val="146C70"/>
        </w:rPr>
        <w:t>]</w:t>
      </w:r>
      <w:r>
        <w:rPr>
          <w:rFonts w:ascii="Inter" w:hAnsi="Inter" w:eastAsia="Noto Sans CJK JP"/>
        </w:rPr>
        <w:t xml:space="preserve"> Encoded and linear-light RGB are different representations. Use the appropriate form for each operation and record conversions. </w:t>
      </w:r>
      <w:r>
        <w:rPr>
          <w:rFonts w:ascii="Inter" w:hAnsi="Inter" w:eastAsia="Noto Sans CJK JP"/>
          <w:color w:val="146C70"/>
        </w:rPr>
        <w:t>[</w:t>
      </w:r>
      <w:hyperlink w:anchor="ref6">
        <w:r>
          <w:rPr>
            <w:rFonts w:ascii="Inter" w:hAnsi="Inter" w:eastAsia="Noto Sans CJK JP"/>
            <w:color w:val="146C70"/>
            <w:sz w:val="21"/>
            <w:u w:val="single"/>
          </w:rPr>
          <w:t>6</w:t>
        </w:r>
      </w:hyperlink>
      <w:r>
        <w:rPr>
          <w:rFonts w:ascii="Inter" w:hAnsi="Inter" w:eastAsia="Noto Sans CJK JP"/>
          <w:color w:val="146C70"/>
        </w:rPr>
        <w:t xml:space="preserve">, </w:t>
      </w:r>
      <w:hyperlink w:anchor="ref11">
        <w:r>
          <w:rPr>
            <w:rFonts w:ascii="Inter" w:hAnsi="Inter" w:eastAsia="Noto Sans CJK JP"/>
            <w:color w:val="146C70"/>
            <w:sz w:val="21"/>
            <w:u w:val="single"/>
          </w:rPr>
          <w:t>11</w:t>
        </w:r>
      </w:hyperlink>
      <w:r>
        <w:rPr>
          <w:rFonts w:ascii="Inter" w:hAnsi="Inter" w:eastAsia="Noto Sans CJK JP"/>
          <w:color w:val="146C70"/>
        </w:rPr>
        <w:t>]</w:t>
      </w:r>
    </w:p>
    <w:p>
      <w:pPr>
        <w:pStyle w:val="Heading2"/>
      </w:pPr>
      <w:r>
        <w:rPr>
          <w:rFonts w:ascii="Inter" w:hAnsi="Inter" w:eastAsia="Noto Sans CJK JP"/>
        </w:rPr>
        <w:t>Representation is not interpretation</w:t>
      </w:r>
    </w:p>
    <w:p>
      <w:r>
        <w:rPr>
          <w:rFonts w:ascii="Inter" w:hAnsi="Inter" w:eastAsia="Noto Sans CJK JP"/>
        </w:rPr>
        <w:t xml:space="preserve">A colour space supplies coordinates. A colour-order system organises samples. A colour-appearance model predicts attributes under viewing conditions. A dictionary records names and evidence. A cultural framework records relationships and context. None is a substitute for the others. </w:t>
      </w:r>
      <w:r>
        <w:rPr>
          <w:rFonts w:ascii="Inter" w:hAnsi="Inter" w:eastAsia="Noto Sans CJK JP"/>
          <w:color w:val="146C70"/>
        </w:rPr>
        <w:t>[</w:t>
      </w:r>
      <w:hyperlink w:anchor="ref2">
        <w:r>
          <w:rPr>
            <w:rFonts w:ascii="Inter" w:hAnsi="Inter" w:eastAsia="Noto Sans CJK JP"/>
            <w:color w:val="146C70"/>
            <w:sz w:val="21"/>
            <w:u w:val="single"/>
          </w:rPr>
          <w:t>2</w:t>
        </w:r>
      </w:hyperlink>
      <w:r>
        <w:rPr>
          <w:rFonts w:ascii="Inter" w:hAnsi="Inter" w:eastAsia="Noto Sans CJK JP"/>
          <w:color w:val="146C70"/>
        </w:rPr>
        <w:t xml:space="preserve">, </w:t>
      </w:r>
      <w:hyperlink w:anchor="ref4">
        <w:r>
          <w:rPr>
            <w:rFonts w:ascii="Inter" w:hAnsi="Inter" w:eastAsia="Noto Sans CJK JP"/>
            <w:color w:val="146C70"/>
            <w:sz w:val="21"/>
            <w:u w:val="single"/>
          </w:rPr>
          <w:t>4</w:t>
        </w:r>
      </w:hyperlink>
      <w:r>
        <w:rPr>
          <w:rFonts w:ascii="Inter" w:hAnsi="Inter" w:eastAsia="Noto Sans CJK JP"/>
          <w:color w:val="146C70"/>
        </w:rPr>
        <w:t xml:space="preserve">, </w:t>
      </w:r>
      <w:hyperlink w:anchor="ref17">
        <w:r>
          <w:rPr>
            <w:rFonts w:ascii="Inter" w:hAnsi="Inter" w:eastAsia="Noto Sans CJK JP"/>
            <w:color w:val="146C70"/>
            <w:sz w:val="21"/>
            <w:u w:val="single"/>
          </w:rPr>
          <w:t>17</w:t>
        </w:r>
      </w:hyperlink>
      <w:r>
        <w:rPr>
          <w:rFonts w:ascii="Inter" w:hAnsi="Inter" w:eastAsia="Noto Sans CJK JP"/>
          <w:color w:val="146C70"/>
        </w:rPr>
        <w:t>]</w:t>
      </w:r>
    </w:p>
    <w:p>
      <w:pPr>
        <w:spacing w:before="140" w:after="160"/>
        <w:ind w:left="187" w:right="144"/>
        <w:shd w:fill="EFF5F5"/>
        <w:pBdr>
          <w:left w:val="single" w:sz="18" w:color="146C70" w:space="7"/>
        </w:pBdr>
      </w:pPr>
      <w:r>
        <w:rPr>
          <w:rFonts w:ascii="Inter" w:hAnsi="Inter" w:eastAsia="Noto Sans CJK JP"/>
          <w:b/>
        </w:rPr>
        <w:t>Implementation rule</w:t>
      </w:r>
      <w:r>
        <w:rPr>
          <w:rFonts w:ascii="Inter" w:hAnsi="Inter" w:eastAsia="Noto Sans CJK JP"/>
        </w:rPr>
        <w:t xml:space="preserve">  Do not make a hex string the canonical truth. Keep the source representation, the conversion path and the display approximation. CSS Lab uses D50 and OKLab uses D65 as reference whites. Account for chromatic adaptation when converting between these conventions. </w:t>
      </w:r>
      <w:r>
        <w:rPr>
          <w:rFonts w:ascii="Inter" w:hAnsi="Inter" w:eastAsia="Noto Sans CJK JP"/>
          <w:color w:val="146C70"/>
        </w:rPr>
        <w:t>[</w:t>
      </w:r>
      <w:hyperlink w:anchor="ref6">
        <w:r>
          <w:rPr>
            <w:rFonts w:ascii="Inter" w:hAnsi="Inter" w:eastAsia="Noto Sans CJK JP"/>
            <w:color w:val="146C70"/>
            <w:sz w:val="21"/>
            <w:u w:val="single"/>
          </w:rPr>
          <w:t>6</w:t>
        </w:r>
      </w:hyperlink>
      <w:r>
        <w:rPr>
          <w:rFonts w:ascii="Inter" w:hAnsi="Inter" w:eastAsia="Noto Sans CJK JP"/>
          <w:color w:val="146C70"/>
        </w:rPr>
        <w:t>]</w:t>
      </w:r>
    </w:p>
    <w:p>
      <w:r>
        <w:br w:type="page"/>
      </w:r>
    </w:p>
    <w:p>
      <w:pPr>
        <w:spacing w:after="120"/>
      </w:pPr>
      <w:r>
        <w:rPr>
          <w:rFonts w:ascii="Inter" w:hAnsi="Inter" w:eastAsia="Noto Sans CJK JP"/>
          <w:b/>
          <w:color w:val="146C70"/>
          <w:sz w:val="17"/>
        </w:rPr>
        <w:t>A / PHYSICAL APPEARANCE</w:t>
      </w:r>
    </w:p>
    <w:p>
      <w:bookmarkStart w:id="6" w:name="sec6"/>
      <w:pPr>
        <w:pStyle w:val="Heading1"/>
      </w:pPr>
      <w:r>
        <w:rPr>
          <w:rFonts w:ascii="Inter" w:hAnsi="Inter" w:eastAsia="Noto Sans CJK JP"/>
        </w:rPr>
        <w:t>4. Light, materials and reliable display</w:t>
      </w:r>
      <w:bookmarkEnd w:id="6"/>
    </w:p>
    <w:p>
      <w:pPr>
        <w:spacing w:after="200"/>
      </w:pPr>
      <w:r>
        <w:rPr>
          <w:rFonts w:ascii="Inter" w:hAnsi="Inter" w:eastAsia="Noto Sans CJK JP"/>
          <w:color w:val="53626E"/>
          <w:sz w:val="21"/>
        </w:rPr>
        <w:t>The same palette should be reproducible within the app, while its real-world limits remain visible.</w:t>
      </w:r>
    </w:p>
    <w:p>
      <w:pPr>
        <w:pStyle w:val="Heading2"/>
      </w:pPr>
      <w:r>
        <w:rPr>
          <w:rFonts w:ascii="Inter" w:hAnsi="Inter" w:eastAsia="Noto Sans CJK JP"/>
        </w:rPr>
        <w:t>Emission, reflection and mixture</w:t>
      </w:r>
    </w:p>
    <w:p>
      <w:r>
        <w:rPr>
          <w:rFonts w:ascii="Inter" w:hAnsi="Inter" w:eastAsia="Noto Sans CJK JP"/>
        </w:rPr>
        <w:t xml:space="preserve">Mixing display channels or interpolating coordinates is not a recipe for mixing fabric dyes or pigments. A physical material workflow needs suitable measurements and a material model. Spectral-to-tristimulus computation uses a spectrum, observer functions and an illuminant—not just a colour name. </w:t>
      </w:r>
      <w:r>
        <w:rPr>
          <w:rFonts w:ascii="Inter" w:hAnsi="Inter" w:eastAsia="Noto Sans CJK JP"/>
          <w:color w:val="146C70"/>
        </w:rPr>
        <w:t>[</w:t>
      </w:r>
      <w:hyperlink w:anchor="ref13">
        <w:r>
          <w:rPr>
            <w:rFonts w:ascii="Inter" w:hAnsi="Inter" w:eastAsia="Noto Sans CJK JP"/>
            <w:color w:val="146C70"/>
            <w:sz w:val="21"/>
            <w:u w:val="single"/>
          </w:rPr>
          <w:t>13</w:t>
        </w:r>
      </w:hyperlink>
      <w:r>
        <w:rPr>
          <w:rFonts w:ascii="Inter" w:hAnsi="Inter" w:eastAsia="Noto Sans CJK JP"/>
          <w:color w:val="146C70"/>
        </w:rPr>
        <w:t>]</w:t>
      </w:r>
    </w:p>
    <w:p>
      <w:pPr>
        <w:pStyle w:val="Heading2"/>
      </w:pPr>
      <w:r>
        <w:rPr>
          <w:rFonts w:ascii="Inter" w:hAnsi="Inter" w:eastAsia="Noto Sans CJK JP"/>
        </w:rPr>
        <w:t>Metamerism and illumination</w:t>
      </w:r>
    </w:p>
    <w:p>
      <w:r>
        <w:rPr>
          <w:rFonts w:ascii="Inter" w:hAnsi="Inter" w:eastAsia="Noto Sans CJK JP"/>
        </w:rPr>
        <w:t xml:space="preserve">Spectrally different stimuli can share tristimulus values in a specified system: this is metamerism. A match under one set of conditions therefore does not establish an all-lighting material match. An RGB-only mode must not promise reliable relighting of real fabric. </w:t>
      </w:r>
      <w:r>
        <w:rPr>
          <w:rFonts w:ascii="Inter" w:hAnsi="Inter" w:eastAsia="Noto Sans CJK JP"/>
          <w:color w:val="146C70"/>
        </w:rPr>
        <w:t>[</w:t>
      </w:r>
      <w:hyperlink w:anchor="ref3">
        <w:r>
          <w:rPr>
            <w:rFonts w:ascii="Inter" w:hAnsi="Inter" w:eastAsia="Noto Sans CJK JP"/>
            <w:color w:val="146C70"/>
            <w:sz w:val="21"/>
            <w:u w:val="single"/>
          </w:rPr>
          <w:t>3</w:t>
        </w:r>
      </w:hyperlink>
      <w:r>
        <w:rPr>
          <w:rFonts w:ascii="Inter" w:hAnsi="Inter" w:eastAsia="Noto Sans CJK JP"/>
          <w:color w:val="146C70"/>
        </w:rPr>
        <w:t xml:space="preserve">, </w:t>
      </w:r>
      <w:hyperlink w:anchor="ref13">
        <w:r>
          <w:rPr>
            <w:rFonts w:ascii="Inter" w:hAnsi="Inter" w:eastAsia="Noto Sans CJK JP"/>
            <w:color w:val="146C70"/>
            <w:sz w:val="21"/>
            <w:u w:val="single"/>
          </w:rPr>
          <w:t>13</w:t>
        </w:r>
      </w:hyperlink>
      <w:r>
        <w:rPr>
          <w:rFonts w:ascii="Inter" w:hAnsi="Inter" w:eastAsia="Noto Sans CJK JP"/>
          <w:color w:val="146C70"/>
        </w:rPr>
        <w:t>]</w:t>
      </w:r>
    </w:p>
    <w:p>
      <w:r>
        <w:rPr>
          <w:rFonts w:ascii="Inter" w:hAnsi="Inter" w:eastAsia="Noto Sans CJK JP"/>
        </w:rPr>
        <w:t xml:space="preserve">For light sources, correlated colour temperature is a useful descriptor, but the app should request a measured or specified spectral power distribution when a spectral calculation is intended. Do not treat a kelvin setting as a complete description of the light. </w:t>
      </w:r>
      <w:r>
        <w:rPr>
          <w:rFonts w:ascii="Inter" w:hAnsi="Inter" w:eastAsia="Noto Sans CJK JP"/>
          <w:color w:val="146C70"/>
        </w:rPr>
        <w:t>[</w:t>
      </w:r>
      <w:hyperlink w:anchor="ref5">
        <w:r>
          <w:rPr>
            <w:rFonts w:ascii="Inter" w:hAnsi="Inter" w:eastAsia="Noto Sans CJK JP"/>
            <w:color w:val="146C70"/>
            <w:sz w:val="21"/>
            <w:u w:val="single"/>
          </w:rPr>
          <w:t>5</w:t>
        </w:r>
      </w:hyperlink>
      <w:r>
        <w:rPr>
          <w:rFonts w:ascii="Inter" w:hAnsi="Inter" w:eastAsia="Noto Sans CJK JP"/>
          <w:color w:val="146C70"/>
        </w:rPr>
        <w:t xml:space="preserve">, </w:t>
      </w:r>
      <w:hyperlink w:anchor="ref13">
        <w:r>
          <w:rPr>
            <w:rFonts w:ascii="Inter" w:hAnsi="Inter" w:eastAsia="Noto Sans CJK JP"/>
            <w:color w:val="146C70"/>
            <w:sz w:val="21"/>
            <w:u w:val="single"/>
          </w:rPr>
          <w:t>13</w:t>
        </w:r>
      </w:hyperlink>
      <w:r>
        <w:rPr>
          <w:rFonts w:ascii="Inter" w:hAnsi="Inter" w:eastAsia="Noto Sans CJK JP"/>
          <w:color w:val="146C70"/>
        </w:rPr>
        <w:t>]</w:t>
      </w:r>
    </w:p>
    <w:p>
      <w:pPr>
        <w:pStyle w:val="Heading2"/>
      </w:pPr>
      <w:r>
        <w:rPr>
          <w:rFonts w:ascii="Inter" w:hAnsi="Inter" w:eastAsia="Noto Sans CJK JP"/>
        </w:rPr>
        <w:t>Colour management and gamut</w:t>
      </w:r>
    </w:p>
    <w:p>
      <w:r>
        <w:rPr>
          <w:rFonts w:ascii="Inter" w:hAnsi="Inter" w:eastAsia="Noto Sans CJK JP"/>
        </w:rPr>
        <w:t xml:space="preserve">Profiles describe colour behaviour for colour-managed conversion. Preserve embedded profile information where available; flag unknown input profiles instead of silently treating every image as an exact reference. </w:t>
      </w:r>
      <w:r>
        <w:rPr>
          <w:rFonts w:ascii="Inter" w:hAnsi="Inter" w:eastAsia="Noto Sans CJK JP"/>
          <w:color w:val="146C70"/>
        </w:rPr>
        <w:t>[</w:t>
      </w:r>
      <w:hyperlink w:anchor="ref12">
        <w:r>
          <w:rPr>
            <w:rFonts w:ascii="Inter" w:hAnsi="Inter" w:eastAsia="Noto Sans CJK JP"/>
            <w:color w:val="146C70"/>
            <w:sz w:val="21"/>
            <w:u w:val="single"/>
          </w:rPr>
          <w:t>12</w:t>
        </w:r>
      </w:hyperlink>
      <w:r>
        <w:rPr>
          <w:rFonts w:ascii="Inter" w:hAnsi="Inter" w:eastAsia="Noto Sans CJK JP"/>
          <w:color w:val="146C70"/>
        </w:rPr>
        <w:t>]</w:t>
      </w:r>
    </w:p>
    <w:p>
      <w:r>
        <w:rPr>
          <w:rFonts w:ascii="Inter" w:hAnsi="Inter" w:eastAsia="Noto Sans CJK JP"/>
        </w:rPr>
        <w:t xml:space="preserve">When a colour cannot be represented in the output space, gamut mapping is a policy decision. Simple channel clipping and more structured mappings can produce different results. Keep the original and mapped colour, identify the algorithm, and make the change inspectable. </w:t>
      </w:r>
      <w:r>
        <w:rPr>
          <w:rFonts w:ascii="Inter" w:hAnsi="Inter" w:eastAsia="Noto Sans CJK JP"/>
          <w:color w:val="146C70"/>
        </w:rPr>
        <w:t>[</w:t>
      </w:r>
      <w:hyperlink w:anchor="ref9">
        <w:r>
          <w:rPr>
            <w:rFonts w:ascii="Inter" w:hAnsi="Inter" w:eastAsia="Noto Sans CJK JP"/>
            <w:color w:val="146C70"/>
            <w:sz w:val="21"/>
            <w:u w:val="single"/>
          </w:rPr>
          <w:t>9</w:t>
        </w:r>
      </w:hyperlink>
      <w:r>
        <w:rPr>
          <w:rFonts w:ascii="Inter" w:hAnsi="Inter" w:eastAsia="Noto Sans CJK JP"/>
          <w:color w:val="146C70"/>
        </w:rPr>
        <w:t>]</w:t>
      </w:r>
    </w:p>
    <w:tbl>
      <w:tblPr>
        <w:tblW w:type="auto" w:w="0"/>
        <w:jc w:val="center"/>
        <w:tblLayout w:type="fixed"/>
        <w:tblLook w:firstColumn="1" w:firstRow="1" w:lastColumn="0" w:lastRow="0" w:noHBand="0" w:noVBand="1" w:val="04A0"/>
      </w:tblPr>
      <w:tblGrid>
        <w:gridCol w:w="2362"/>
        <w:gridCol w:w="7470"/>
      </w:tblGrid>
      <w:tr>
        <w:trPr>
          <w:tblHeader w:val="true"/>
        </w:trPr>
        <w:tc>
          <w:tcPr>
            <w:tcW w:type="dxa" w:w="2362"/>
            <w:shd w:fill="173146"/>
            <w:tcMar>
              <w:top w:w="95" w:type="dxa"/>
              <w:start w:w="105" w:type="dxa"/>
              <w:bottom w:w="95" w:type="dxa"/>
              <w:end w:w="105" w:type="dxa"/>
            </w:tcMar>
          </w:tcPr>
          <w:p>
            <w:pPr>
              <w:widowControl w:val="0"/>
              <w:spacing w:after="0"/>
            </w:pPr>
            <w:r>
              <w:rPr>
                <w:rFonts w:ascii="Inter" w:hAnsi="Inter" w:eastAsia="Noto Sans CJK JP"/>
                <w:b/>
                <w:color w:val="FFFFFF"/>
                <w:sz w:val="18"/>
              </w:rPr>
              <w:t>Lab mode</w:t>
            </w:r>
          </w:p>
        </w:tc>
        <w:tc>
          <w:tcPr>
            <w:tcW w:type="dxa" w:w="7470"/>
            <w:shd w:fill="173146"/>
            <w:tcMar>
              <w:top w:w="95" w:type="dxa"/>
              <w:start w:w="105" w:type="dxa"/>
              <w:bottom w:w="95" w:type="dxa"/>
              <w:end w:w="105" w:type="dxa"/>
            </w:tcMar>
          </w:tcPr>
          <w:p>
            <w:pPr>
              <w:widowControl w:val="0"/>
              <w:spacing w:after="0"/>
            </w:pPr>
            <w:r>
              <w:rPr>
                <w:rFonts w:ascii="Inter" w:hAnsi="Inter" w:eastAsia="Noto Sans CJK JP"/>
                <w:b/>
                <w:color w:val="FFFFFF"/>
                <w:sz w:val="18"/>
              </w:rPr>
              <w:t>What users may conclude</w:t>
            </w:r>
          </w:p>
        </w:tc>
      </w:tr>
      <w:tr>
        <w:trPr>
          <w:cantSplit/>
        </w:trPr>
        <w:tc>
          <w:tcPr>
            <w:tcW w:type="dxa" w:w="2362"/>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Managed screen comparison</w:t>
            </w:r>
          </w:p>
        </w:tc>
        <w:tc>
          <w:tcPr>
            <w:tcW w:type="dxa" w:w="7470"/>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Compare the app’s displayed variants under the recorded display assumptions.</w:t>
            </w:r>
          </w:p>
        </w:tc>
      </w:tr>
      <w:tr>
        <w:trPr>
          <w:cantSplit/>
        </w:trPr>
        <w:tc>
          <w:tcPr>
            <w:tcW w:type="dxa" w:w="2362"/>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Profiled soft proof</w:t>
            </w:r>
          </w:p>
        </w:tc>
        <w:tc>
          <w:tcPr>
            <w:tcW w:type="dxa" w:w="7470"/>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Preview a target output condition; still subject to device and viewing limits.</w:t>
            </w:r>
          </w:p>
        </w:tc>
      </w:tr>
      <w:tr>
        <w:trPr>
          <w:cantSplit/>
        </w:trPr>
        <w:tc>
          <w:tcPr>
            <w:tcW w:type="dxa" w:w="2362"/>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Measured material workflow</w:t>
            </w:r>
          </w:p>
        </w:tc>
        <w:tc>
          <w:tcPr>
            <w:tcW w:type="dxa" w:w="7470"/>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Evaluate predictions tied to specific samples, measurement conditions and a validated model.</w:t>
            </w:r>
          </w:p>
        </w:tc>
      </w:tr>
      <w:tr>
        <w:trPr>
          <w:cantSplit/>
        </w:trPr>
        <w:tc>
          <w:tcPr>
            <w:tcW w:type="dxa" w:w="2362"/>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Unprofiled image or screen</w:t>
            </w:r>
          </w:p>
        </w:tc>
        <w:tc>
          <w:tcPr>
            <w:tcW w:type="dxa" w:w="7470"/>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Explore approximately; do not claim an exact textile, paint or print match.</w:t>
            </w:r>
          </w:p>
        </w:tc>
      </w:tr>
    </w:tbl>
    <w:p>
      <w:pPr>
        <w:spacing w:after="0"/>
      </w:pPr>
    </w:p>
    <w:p>
      <w:pPr>
        <w:spacing w:before="140" w:after="160"/>
        <w:ind w:left="187" w:right="144"/>
        <w:shd w:fill="EFF5F5"/>
        <w:pBdr>
          <w:left w:val="single" w:sz="18" w:color="146C70" w:space="7"/>
        </w:pBdr>
      </w:pPr>
      <w:r>
        <w:rPr>
          <w:rFonts w:ascii="Inter" w:hAnsi="Inter" w:eastAsia="Noto Sans CJK JP"/>
          <w:b/>
        </w:rPr>
        <w:t>Production boundary</w:t>
      </w:r>
      <w:r>
        <w:rPr>
          <w:rFonts w:ascii="Inter" w:hAnsi="Inter" w:eastAsia="Noto Sans CJK JP"/>
        </w:rPr>
        <w:t xml:space="preserve">  A digital approval is not automatically a physical colour approval. Require samples and a documented acceptance process before manufacturing decisions.</w:t>
      </w:r>
    </w:p>
    <w:p>
      <w:r>
        <w:br w:type="page"/>
      </w:r>
    </w:p>
    <w:p>
      <w:pPr>
        <w:spacing w:after="120"/>
      </w:pPr>
      <w:r>
        <w:rPr>
          <w:rFonts w:ascii="Inter" w:hAnsi="Inter" w:eastAsia="Noto Sans CJK JP"/>
          <w:b/>
          <w:color w:val="146C70"/>
          <w:sz w:val="17"/>
        </w:rPr>
        <w:t>B / RELATIONSHIPS AND EXERCISES</w:t>
      </w:r>
    </w:p>
    <w:p>
      <w:bookmarkStart w:id="7" w:name="sec7"/>
      <w:pPr>
        <w:pStyle w:val="Heading1"/>
      </w:pPr>
      <w:r>
        <w:rPr>
          <w:rFonts w:ascii="Inter" w:hAnsi="Inter" w:eastAsia="Noto Sans CJK JP"/>
        </w:rPr>
        <w:t>5. Palette structures to explore</w:t>
      </w:r>
      <w:bookmarkEnd w:id="7"/>
    </w:p>
    <w:p>
      <w:pPr>
        <w:spacing w:after="200"/>
      </w:pPr>
      <w:r>
        <w:rPr>
          <w:rFonts w:ascii="Inter" w:hAnsi="Inter" w:eastAsia="Noto Sans CJK JP"/>
          <w:color w:val="53626E"/>
          <w:sz w:val="21"/>
        </w:rPr>
        <w:t>Treat harmony schemes as generators and teaching tools—not guarantees of attractiveness.</w:t>
      </w:r>
    </w:p>
    <w:tbl>
      <w:tblPr>
        <w:tblW w:type="auto" w:w="0"/>
        <w:jc w:val="center"/>
        <w:tblLayout w:type="fixed"/>
        <w:tblLook w:firstColumn="1" w:firstRow="1" w:lastColumn="0" w:lastRow="0" w:noHBand="0" w:noVBand="1" w:val="04A0"/>
      </w:tblPr>
      <w:tblGrid>
        <w:gridCol w:w="1872"/>
        <w:gridCol w:w="3701"/>
        <w:gridCol w:w="4259"/>
      </w:tblGrid>
      <w:tr>
        <w:trPr>
          <w:tblHeader w:val="true"/>
        </w:trPr>
        <w:tc>
          <w:tcPr>
            <w:tcW w:type="dxa" w:w="1872"/>
            <w:shd w:fill="173146"/>
            <w:tcMar>
              <w:top w:w="95" w:type="dxa"/>
              <w:start w:w="105" w:type="dxa"/>
              <w:bottom w:w="95" w:type="dxa"/>
              <w:end w:w="105" w:type="dxa"/>
            </w:tcMar>
          </w:tcPr>
          <w:p>
            <w:pPr>
              <w:widowControl w:val="0"/>
              <w:spacing w:after="0"/>
            </w:pPr>
            <w:r>
              <w:rPr>
                <w:rFonts w:ascii="Inter" w:hAnsi="Inter" w:eastAsia="Noto Sans CJK JP"/>
                <w:b/>
                <w:color w:val="FFFFFF"/>
                <w:sz w:val="18"/>
              </w:rPr>
              <w:t>Structure</w:t>
            </w:r>
          </w:p>
        </w:tc>
        <w:tc>
          <w:tcPr>
            <w:tcW w:type="dxa" w:w="3701"/>
            <w:shd w:fill="173146"/>
            <w:tcMar>
              <w:top w:w="95" w:type="dxa"/>
              <w:start w:w="105" w:type="dxa"/>
              <w:bottom w:w="95" w:type="dxa"/>
              <w:end w:w="105" w:type="dxa"/>
            </w:tcMar>
          </w:tcPr>
          <w:p>
            <w:pPr>
              <w:widowControl w:val="0"/>
              <w:spacing w:after="0"/>
            </w:pPr>
            <w:r>
              <w:rPr>
                <w:rFonts w:ascii="Inter" w:hAnsi="Inter" w:eastAsia="Noto Sans CJK JP"/>
                <w:b/>
                <w:color w:val="FFFFFF"/>
                <w:sz w:val="18"/>
              </w:rPr>
              <w:t>Proposed generation rule</w:t>
            </w:r>
          </w:p>
        </w:tc>
        <w:tc>
          <w:tcPr>
            <w:tcW w:type="dxa" w:w="4259"/>
            <w:shd w:fill="173146"/>
            <w:tcMar>
              <w:top w:w="95" w:type="dxa"/>
              <w:start w:w="105" w:type="dxa"/>
              <w:bottom w:w="95" w:type="dxa"/>
              <w:end w:w="105" w:type="dxa"/>
            </w:tcMar>
          </w:tcPr>
          <w:p>
            <w:pPr>
              <w:widowControl w:val="0"/>
              <w:spacing w:after="0"/>
            </w:pPr>
            <w:r>
              <w:rPr>
                <w:rFonts w:ascii="Inter" w:hAnsi="Inter" w:eastAsia="Noto Sans CJK JP"/>
                <w:b/>
                <w:color w:val="FFFFFF"/>
                <w:sz w:val="18"/>
              </w:rPr>
              <w:t>What to vary or test</w:t>
            </w:r>
          </w:p>
        </w:tc>
      </w:tr>
      <w:tr>
        <w:trPr>
          <w:cantSplit/>
        </w:trPr>
        <w:tc>
          <w:tcPr>
            <w:tcW w:type="dxa" w:w="1872"/>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Monochromatic</w:t>
            </w:r>
          </w:p>
        </w:tc>
        <w:tc>
          <w:tcPr>
            <w:tcW w:type="dxa" w:w="370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Hold a hue family; vary lightness and chroma.</w:t>
            </w:r>
          </w:p>
        </w:tc>
        <w:tc>
          <w:tcPr>
            <w:tcW w:type="dxa" w:w="425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Can hierarchy emerge without hue contrast?</w:t>
            </w:r>
          </w:p>
        </w:tc>
      </w:tr>
      <w:tr>
        <w:trPr>
          <w:cantSplit/>
        </w:trPr>
        <w:tc>
          <w:tcPr>
            <w:tcW w:type="dxa" w:w="1872"/>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Analogous</w:t>
            </w:r>
          </w:p>
        </w:tc>
        <w:tc>
          <w:tcPr>
            <w:tcW w:type="dxa" w:w="3701"/>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Use a configurable neighbourhood on a chosen hue circle.</w:t>
            </w:r>
          </w:p>
        </w:tc>
        <w:tc>
          <w:tcPr>
            <w:tcW w:type="dxa" w:w="4259"/>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How narrow can the span become before accents disappear?</w:t>
            </w:r>
          </w:p>
        </w:tc>
      </w:tr>
      <w:tr>
        <w:trPr>
          <w:cantSplit/>
        </w:trPr>
        <w:tc>
          <w:tcPr>
            <w:tcW w:type="dxa" w:w="1872"/>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Complementary</w:t>
            </w:r>
          </w:p>
        </w:tc>
        <w:tc>
          <w:tcPr>
            <w:tcW w:type="dxa" w:w="370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Start near 180° separation on the chosen wheel.</w:t>
            </w:r>
          </w:p>
        </w:tc>
        <w:tc>
          <w:tcPr>
            <w:tcW w:type="dxa" w:w="425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Compare a small accent with equally large opposing areas.</w:t>
            </w:r>
          </w:p>
        </w:tc>
      </w:tr>
      <w:tr>
        <w:trPr>
          <w:cantSplit/>
        </w:trPr>
        <w:tc>
          <w:tcPr>
            <w:tcW w:type="dxa" w:w="1872"/>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Split-complementary</w:t>
            </w:r>
          </w:p>
        </w:tc>
        <w:tc>
          <w:tcPr>
            <w:tcW w:type="dxa" w:w="3701"/>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Use a base hue and two offsets around its opposite.</w:t>
            </w:r>
          </w:p>
        </w:tc>
        <w:tc>
          <w:tcPr>
            <w:tcW w:type="dxa" w:w="4259"/>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Vary the split angle and lightness balance.</w:t>
            </w:r>
          </w:p>
        </w:tc>
      </w:tr>
      <w:tr>
        <w:trPr>
          <w:cantSplit/>
        </w:trPr>
        <w:tc>
          <w:tcPr>
            <w:tcW w:type="dxa" w:w="1872"/>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Triadic</w:t>
            </w:r>
          </w:p>
        </w:tc>
        <w:tc>
          <w:tcPr>
            <w:tcW w:type="dxa" w:w="370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Begin with three approximately 120°-spaced hues.</w:t>
            </w:r>
          </w:p>
        </w:tc>
        <w:tc>
          <w:tcPr>
            <w:tcW w:type="dxa" w:w="425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Compare equal chroma with a dominant hue and quieter supports.</w:t>
            </w:r>
          </w:p>
        </w:tc>
      </w:tr>
      <w:tr>
        <w:trPr>
          <w:cantSplit/>
        </w:trPr>
        <w:tc>
          <w:tcPr>
            <w:tcW w:type="dxa" w:w="1872"/>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Tetradic / rectangular</w:t>
            </w:r>
          </w:p>
        </w:tc>
        <w:tc>
          <w:tcPr>
            <w:tcW w:type="dxa" w:w="3701"/>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Use two opposing pairs; allow rectangle angle to vary.</w:t>
            </w:r>
          </w:p>
        </w:tc>
        <w:tc>
          <w:tcPr>
            <w:tcW w:type="dxa" w:w="4259"/>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Test whether four strong colours compete for attention.</w:t>
            </w:r>
          </w:p>
        </w:tc>
      </w:tr>
      <w:tr>
        <w:trPr>
          <w:cantSplit/>
        </w:trPr>
        <w:tc>
          <w:tcPr>
            <w:tcW w:type="dxa" w:w="1872"/>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Neutral + accent</w:t>
            </w:r>
          </w:p>
        </w:tc>
        <w:tc>
          <w:tcPr>
            <w:tcW w:type="dxa" w:w="370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Reserve most area for near-neutrals and a smaller accent.</w:t>
            </w:r>
          </w:p>
        </w:tc>
        <w:tc>
          <w:tcPr>
            <w:tcW w:type="dxa" w:w="425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Change the accent’s area, chroma and position independently.</w:t>
            </w:r>
          </w:p>
        </w:tc>
      </w:tr>
      <w:tr>
        <w:trPr>
          <w:cantSplit/>
        </w:trPr>
        <w:tc>
          <w:tcPr>
            <w:tcW w:type="dxa" w:w="1872"/>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Free-form / source-led</w:t>
            </w:r>
          </w:p>
        </w:tc>
        <w:tc>
          <w:tcPr>
            <w:tcW w:type="dxa" w:w="3701"/>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Sample without a harmony constraint, or follow a sourced relationship.</w:t>
            </w:r>
          </w:p>
        </w:tc>
        <w:tc>
          <w:tcPr>
            <w:tcW w:type="dxa" w:w="4259"/>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Use as a baseline rather than treating wheel schemes as the default truth.</w:t>
            </w:r>
          </w:p>
        </w:tc>
      </w:tr>
    </w:tbl>
    <w:p>
      <w:pPr>
        <w:spacing w:after="0"/>
      </w:pPr>
    </w:p>
    <w:p>
      <w:r>
        <w:rPr>
          <w:rFonts w:ascii="Inter" w:hAnsi="Inter" w:eastAsia="Noto Sans CJK JP"/>
        </w:rPr>
        <w:t xml:space="preserve">Angles above are proposed software defaults. The same numerical rule in different hue representations can produce different colours; the space and wheel must be recorded. Existing wheel tools are useful references, not authorities for universal preference. </w:t>
      </w:r>
      <w:r>
        <w:rPr>
          <w:rFonts w:ascii="Inter" w:hAnsi="Inter" w:eastAsia="Noto Sans CJK JP"/>
          <w:color w:val="146C70"/>
        </w:rPr>
        <w:t>[</w:t>
      </w:r>
      <w:hyperlink w:anchor="ref8">
        <w:r>
          <w:rPr>
            <w:rFonts w:ascii="Inter" w:hAnsi="Inter" w:eastAsia="Noto Sans CJK JP"/>
            <w:color w:val="146C70"/>
            <w:sz w:val="21"/>
            <w:u w:val="single"/>
          </w:rPr>
          <w:t>8</w:t>
        </w:r>
      </w:hyperlink>
      <w:r>
        <w:rPr>
          <w:rFonts w:ascii="Inter" w:hAnsi="Inter" w:eastAsia="Noto Sans CJK JP"/>
          <w:color w:val="146C70"/>
        </w:rPr>
        <w:t xml:space="preserve">, </w:t>
      </w:r>
      <w:hyperlink w:anchor="ref33">
        <w:r>
          <w:rPr>
            <w:rFonts w:ascii="Inter" w:hAnsi="Inter" w:eastAsia="Noto Sans CJK JP"/>
            <w:color w:val="146C70"/>
            <w:sz w:val="21"/>
            <w:u w:val="single"/>
          </w:rPr>
          <w:t>33</w:t>
        </w:r>
      </w:hyperlink>
      <w:r>
        <w:rPr>
          <w:rFonts w:ascii="Inter" w:hAnsi="Inter" w:eastAsia="Noto Sans CJK JP"/>
          <w:color w:val="146C70"/>
        </w:rPr>
        <w:t xml:space="preserve">, </w:t>
      </w:r>
      <w:hyperlink w:anchor="ref34">
        <w:r>
          <w:rPr>
            <w:rFonts w:ascii="Inter" w:hAnsi="Inter" w:eastAsia="Noto Sans CJK JP"/>
            <w:color w:val="146C70"/>
            <w:sz w:val="21"/>
            <w:u w:val="single"/>
          </w:rPr>
          <w:t>34</w:t>
        </w:r>
      </w:hyperlink>
      <w:r>
        <w:rPr>
          <w:rFonts w:ascii="Inter" w:hAnsi="Inter" w:eastAsia="Noto Sans CJK JP"/>
          <w:color w:val="146C70"/>
        </w:rPr>
        <w:t>]</w:t>
      </w:r>
    </w:p>
    <w:p>
      <w:pPr>
        <w:pStyle w:val="Heading2"/>
      </w:pPr>
      <w:r>
        <w:rPr>
          <w:rFonts w:ascii="Inter" w:hAnsi="Inter" w:eastAsia="Noto Sans CJK JP"/>
        </w:rPr>
        <w:t>Proportion changes the question</w:t>
      </w:r>
    </w:p>
    <w:p>
      <w:r>
        <w:rPr>
          <w:rFonts w:ascii="Inter" w:hAnsi="Inter" w:eastAsia="Noto Sans CJK JP"/>
        </w:rPr>
        <w:t>Compare 70% black / 20% cream / 10% red with 10% black / 20% cream / 70% red. This is a controlled design example, not a cultural rule. Keep the colours constant and change only area allocation. Then repeat with placement fixed and chroma varied.</w:t>
      </w:r>
    </w:p>
    <w:p>
      <w:pPr>
        <w:pStyle w:val="Heading2"/>
      </w:pPr>
      <w:r>
        <w:rPr>
          <w:rFonts w:ascii="Inter" w:hAnsi="Inter" w:eastAsia="Noto Sans CJK JP"/>
        </w:rPr>
        <w:t>A compact teaching sequence</w:t>
      </w:r>
    </w:p>
    <w:p>
      <w:r>
        <w:rPr>
          <w:rFonts w:ascii="Inter" w:hAnsi="Inter" w:eastAsia="Noto Sans CJK JP"/>
        </w:rPr>
        <w:t>Explore monochromatic, analogous, complementary, split-complementary, triadic and tetradic structures. Then isolate lightness, chroma, warm/cool descriptions and proportion. Finally remove the scheme constraint and test whether it was actually helping with the brief.</w:t>
      </w:r>
    </w:p>
    <w:p>
      <w:pPr>
        <w:spacing w:before="140" w:after="160"/>
        <w:ind w:left="187" w:right="144"/>
        <w:shd w:fill="EFF5F5"/>
        <w:pBdr>
          <w:left w:val="single" w:sz="18" w:color="146C70" w:space="7"/>
        </w:pBdr>
      </w:pPr>
      <w:r>
        <w:rPr>
          <w:rFonts w:ascii="Inter" w:hAnsi="Inter" w:eastAsia="Noto Sans CJK JP"/>
          <w:b/>
        </w:rPr>
        <w:t>Comparison requirement</w:t>
      </w:r>
      <w:r>
        <w:rPr>
          <w:rFonts w:ascii="Inter" w:hAnsi="Inter" w:eastAsia="Noto Sans CJK JP"/>
        </w:rPr>
        <w:t xml:space="preserve">  Always retain a free-form baseline. Otherwise the app cannot separate “this generator produces a recognisable pattern” from “this pattern improves the user’s result”.</w:t>
      </w:r>
    </w:p>
    <w:p>
      <w:r>
        <w:br w:type="page"/>
      </w:r>
    </w:p>
    <w:p>
      <w:pPr>
        <w:spacing w:after="120"/>
      </w:pPr>
      <w:r>
        <w:rPr>
          <w:rFonts w:ascii="Inter" w:hAnsi="Inter" w:eastAsia="Noto Sans CJK JP"/>
          <w:b/>
          <w:color w:val="146C70"/>
          <w:sz w:val="17"/>
        </w:rPr>
        <w:t>B / HISTORY AND PERCEPTION</w:t>
      </w:r>
    </w:p>
    <w:p>
      <w:bookmarkStart w:id="8" w:name="sec8"/>
      <w:pPr>
        <w:pStyle w:val="Heading1"/>
      </w:pPr>
      <w:r>
        <w:rPr>
          <w:rFonts w:ascii="Inter" w:hAnsi="Inter" w:eastAsia="Noto Sans CJK JP"/>
        </w:rPr>
        <w:t>6. Historical theories and colour interaction</w:t>
      </w:r>
      <w:bookmarkEnd w:id="8"/>
    </w:p>
    <w:p>
      <w:pPr>
        <w:spacing w:after="200"/>
      </w:pPr>
      <w:r>
        <w:rPr>
          <w:rFonts w:ascii="Inter" w:hAnsi="Inter" w:eastAsia="Noto Sans CJK JP"/>
          <w:color w:val="53626E"/>
          <w:sz w:val="21"/>
        </w:rPr>
        <w:t>Different traditions answer different questions. Preserve their goals, vocabulary and limitations.</w:t>
      </w:r>
    </w:p>
    <w:tbl>
      <w:tblPr>
        <w:tblW w:type="auto" w:w="0"/>
        <w:jc w:val="center"/>
        <w:tblLayout w:type="fixed"/>
        <w:tblLook w:firstColumn="1" w:firstRow="1" w:lastColumn="0" w:lastRow="0" w:noHBand="0" w:noVBand="1" w:val="04A0"/>
      </w:tblPr>
      <w:tblGrid>
        <w:gridCol w:w="2131"/>
        <w:gridCol w:w="7701"/>
      </w:tblGrid>
      <w:tr>
        <w:trPr>
          <w:tblHeader w:val="true"/>
        </w:trPr>
        <w:tc>
          <w:tcPr>
            <w:tcW w:type="dxa" w:w="2131"/>
            <w:shd w:fill="173146"/>
            <w:tcMar>
              <w:top w:w="95" w:type="dxa"/>
              <w:start w:w="105" w:type="dxa"/>
              <w:bottom w:w="95" w:type="dxa"/>
              <w:end w:w="105" w:type="dxa"/>
            </w:tcMar>
          </w:tcPr>
          <w:p>
            <w:pPr>
              <w:widowControl w:val="0"/>
              <w:spacing w:after="0"/>
            </w:pPr>
            <w:r>
              <w:rPr>
                <w:rFonts w:ascii="Inter" w:hAnsi="Inter" w:eastAsia="Noto Sans CJK JP"/>
                <w:b/>
                <w:color w:val="FFFFFF"/>
                <w:sz w:val="18"/>
              </w:rPr>
              <w:t>System / author</w:t>
            </w:r>
          </w:p>
        </w:tc>
        <w:tc>
          <w:tcPr>
            <w:tcW w:type="dxa" w:w="7701"/>
            <w:shd w:fill="173146"/>
            <w:tcMar>
              <w:top w:w="95" w:type="dxa"/>
              <w:start w:w="105" w:type="dxa"/>
              <w:bottom w:w="95" w:type="dxa"/>
              <w:end w:w="105" w:type="dxa"/>
            </w:tcMar>
          </w:tcPr>
          <w:p>
            <w:pPr>
              <w:widowControl w:val="0"/>
              <w:spacing w:after="0"/>
            </w:pPr>
            <w:r>
              <w:rPr>
                <w:rFonts w:ascii="Inter" w:hAnsi="Inter" w:eastAsia="Noto Sans CJK JP"/>
                <w:b/>
                <w:color w:val="FFFFFF"/>
                <w:sz w:val="18"/>
              </w:rPr>
              <w:t>What belongs in the app</w:t>
            </w:r>
          </w:p>
        </w:tc>
      </w:tr>
      <w:tr>
        <w:trPr>
          <w:cantSplit/>
        </w:trPr>
        <w:tc>
          <w:tcPr>
            <w:tcW w:type="dxa" w:w="213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Goethe</w:t>
            </w:r>
          </w:p>
        </w:tc>
        <w:tc>
          <w:tcPr>
            <w:tcW w:type="dxa" w:w="770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 xml:space="preserve">Historical observation of colour phenomena and experience. Present it as an influential historical work, not a replacement for modern physical colour science. </w:t>
            </w:r>
            <w:r>
              <w:rPr>
                <w:rFonts w:ascii="Inter" w:hAnsi="Inter" w:eastAsia="Noto Sans CJK JP"/>
                <w:color w:val="146C70"/>
                <w:sz w:val="18"/>
              </w:rPr>
              <w:t>[</w:t>
            </w:r>
            <w:hyperlink w:anchor="ref18">
              <w:r>
                <w:rPr>
                  <w:rFonts w:ascii="Inter" w:hAnsi="Inter" w:eastAsia="Noto Sans CJK JP"/>
                  <w:color w:val="146C70"/>
                  <w:sz w:val="18"/>
                  <w:u w:val="single"/>
                </w:rPr>
                <w:t>18</w:t>
              </w:r>
            </w:hyperlink>
            <w:r>
              <w:rPr>
                <w:rFonts w:ascii="Inter" w:hAnsi="Inter" w:eastAsia="Noto Sans CJK JP"/>
                <w:color w:val="146C70"/>
                <w:sz w:val="18"/>
              </w:rPr>
              <w:t>]</w:t>
            </w:r>
          </w:p>
        </w:tc>
      </w:tr>
      <w:tr>
        <w:trPr>
          <w:cantSplit/>
        </w:trPr>
        <w:tc>
          <w:tcPr>
            <w:tcW w:type="dxa" w:w="2131"/>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Itten and Bauhaus teaching</w:t>
            </w:r>
          </w:p>
        </w:tc>
        <w:tc>
          <w:tcPr>
            <w:tcW w:type="dxa" w:w="7701"/>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 xml:space="preserve">Contrast, composition and structured observation exercises. Attribute specific diagrams or categories to their source and edition. </w:t>
            </w:r>
            <w:r>
              <w:rPr>
                <w:rFonts w:ascii="Inter" w:hAnsi="Inter" w:eastAsia="Noto Sans CJK JP"/>
                <w:color w:val="146C70"/>
                <w:sz w:val="18"/>
              </w:rPr>
              <w:t>[</w:t>
            </w:r>
            <w:hyperlink w:anchor="ref19">
              <w:r>
                <w:rPr>
                  <w:rFonts w:ascii="Inter" w:hAnsi="Inter" w:eastAsia="Noto Sans CJK JP"/>
                  <w:color w:val="146C70"/>
                  <w:sz w:val="18"/>
                  <w:u w:val="single"/>
                </w:rPr>
                <w:t>19</w:t>
              </w:r>
            </w:hyperlink>
            <w:r>
              <w:rPr>
                <w:rFonts w:ascii="Inter" w:hAnsi="Inter" w:eastAsia="Noto Sans CJK JP"/>
                <w:color w:val="146C70"/>
                <w:sz w:val="18"/>
              </w:rPr>
              <w:t>]</w:t>
            </w:r>
          </w:p>
        </w:tc>
      </w:tr>
      <w:tr>
        <w:trPr>
          <w:cantSplit/>
        </w:trPr>
        <w:tc>
          <w:tcPr>
            <w:tcW w:type="dxa" w:w="213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Munsell</w:t>
            </w:r>
          </w:p>
        </w:tc>
        <w:tc>
          <w:tcPr>
            <w:tcW w:type="dxa" w:w="770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 xml:space="preserve">Hue, value and chroma notation and a three-dimensional colour-order approach. Separate historical explanation from licensed charts or measured sample data. </w:t>
            </w:r>
            <w:r>
              <w:rPr>
                <w:rFonts w:ascii="Inter" w:hAnsi="Inter" w:eastAsia="Noto Sans CJK JP"/>
                <w:color w:val="146C70"/>
                <w:sz w:val="18"/>
              </w:rPr>
              <w:t>[</w:t>
            </w:r>
            <w:hyperlink w:anchor="ref17">
              <w:r>
                <w:rPr>
                  <w:rFonts w:ascii="Inter" w:hAnsi="Inter" w:eastAsia="Noto Sans CJK JP"/>
                  <w:color w:val="146C70"/>
                  <w:sz w:val="18"/>
                  <w:u w:val="single"/>
                </w:rPr>
                <w:t>17</w:t>
              </w:r>
            </w:hyperlink>
            <w:r>
              <w:rPr>
                <w:rFonts w:ascii="Inter" w:hAnsi="Inter" w:eastAsia="Noto Sans CJK JP"/>
                <w:color w:val="146C70"/>
                <w:sz w:val="18"/>
              </w:rPr>
              <w:t>]</w:t>
            </w:r>
          </w:p>
        </w:tc>
      </w:tr>
      <w:tr>
        <w:trPr>
          <w:cantSplit/>
        </w:trPr>
        <w:tc>
          <w:tcPr>
            <w:tcW w:type="dxa" w:w="2131"/>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Ostwald</w:t>
            </w:r>
          </w:p>
        </w:tc>
        <w:tc>
          <w:tcPr>
            <w:tcW w:type="dxa" w:w="7701"/>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 xml:space="preserve">Historical colour organisation and relations involving full colour, white and black. Do not translate the system directly into unvalidated pigment recipes. </w:t>
            </w:r>
            <w:r>
              <w:rPr>
                <w:rFonts w:ascii="Inter" w:hAnsi="Inter" w:eastAsia="Noto Sans CJK JP"/>
                <w:color w:val="146C70"/>
                <w:sz w:val="18"/>
              </w:rPr>
              <w:t>[</w:t>
            </w:r>
            <w:hyperlink w:anchor="ref21">
              <w:r>
                <w:rPr>
                  <w:rFonts w:ascii="Inter" w:hAnsi="Inter" w:eastAsia="Noto Sans CJK JP"/>
                  <w:color w:val="146C70"/>
                  <w:sz w:val="18"/>
                  <w:u w:val="single"/>
                </w:rPr>
                <w:t>21</w:t>
              </w:r>
            </w:hyperlink>
            <w:r>
              <w:rPr>
                <w:rFonts w:ascii="Inter" w:hAnsi="Inter" w:eastAsia="Noto Sans CJK JP"/>
                <w:color w:val="146C70"/>
                <w:sz w:val="18"/>
              </w:rPr>
              <w:t>]</w:t>
            </w:r>
          </w:p>
        </w:tc>
      </w:tr>
      <w:tr>
        <w:trPr>
          <w:cantSplit/>
        </w:trPr>
        <w:tc>
          <w:tcPr>
            <w:tcW w:type="dxa" w:w="213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Albers</w:t>
            </w:r>
          </w:p>
        </w:tc>
        <w:tc>
          <w:tcPr>
            <w:tcW w:type="dxa" w:w="770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 xml:space="preserve">Experiments in relational appearance: the surroundings can change how a colour is experienced. Use original app exercises rather than reproducing protected plates. </w:t>
            </w:r>
            <w:r>
              <w:rPr>
                <w:rFonts w:ascii="Inter" w:hAnsi="Inter" w:eastAsia="Noto Sans CJK JP"/>
                <w:color w:val="146C70"/>
                <w:sz w:val="18"/>
              </w:rPr>
              <w:t>[</w:t>
            </w:r>
            <w:hyperlink w:anchor="ref20">
              <w:r>
                <w:rPr>
                  <w:rFonts w:ascii="Inter" w:hAnsi="Inter" w:eastAsia="Noto Sans CJK JP"/>
                  <w:color w:val="146C70"/>
                  <w:sz w:val="18"/>
                  <w:u w:val="single"/>
                </w:rPr>
                <w:t>20</w:t>
              </w:r>
            </w:hyperlink>
            <w:r>
              <w:rPr>
                <w:rFonts w:ascii="Inter" w:hAnsi="Inter" w:eastAsia="Noto Sans CJK JP"/>
                <w:color w:val="146C70"/>
                <w:sz w:val="18"/>
              </w:rPr>
              <w:t>]</w:t>
            </w:r>
          </w:p>
        </w:tc>
      </w:tr>
    </w:tbl>
    <w:p>
      <w:pPr>
        <w:spacing w:after="0"/>
      </w:pPr>
    </w:p>
    <w:p>
      <w:pPr>
        <w:pStyle w:val="Heading2"/>
      </w:pPr>
      <w:r>
        <w:rPr>
          <w:rFonts w:ascii="Inter" w:hAnsi="Inter" w:eastAsia="Noto Sans CJK JP"/>
        </w:rPr>
        <w:t>Original exercises for the learning studio</w:t>
      </w:r>
    </w:p>
    <w:p>
      <w:r>
        <w:rPr>
          <w:rFonts w:ascii="Inter" w:hAnsi="Inter" w:eastAsia="Noto Sans CJK JP"/>
          <w:b/>
        </w:rPr>
        <w:t>One colour, two surroundings.</w:t>
      </w:r>
      <w:r>
        <w:rPr>
          <w:rFonts w:ascii="Inter" w:hAnsi="Inter" w:eastAsia="Noto Sans CJK JP"/>
        </w:rPr>
        <w:t xml:space="preserve"> Put identical central samples on different backgrounds and ask the user whether they appear equal. Reveal the numerical identity only after the judgement. This explores relational appearance, not design ability. </w:t>
      </w:r>
      <w:r>
        <w:rPr>
          <w:rFonts w:ascii="Inter" w:hAnsi="Inter" w:eastAsia="Noto Sans CJK JP"/>
          <w:color w:val="146C70"/>
        </w:rPr>
        <w:t>[</w:t>
      </w:r>
      <w:hyperlink w:anchor="ref1">
        <w:r>
          <w:rPr>
            <w:rFonts w:ascii="Inter" w:hAnsi="Inter" w:eastAsia="Noto Sans CJK JP"/>
            <w:color w:val="146C70"/>
            <w:sz w:val="21"/>
            <w:u w:val="single"/>
          </w:rPr>
          <w:t>1</w:t>
        </w:r>
      </w:hyperlink>
      <w:r>
        <w:rPr>
          <w:rFonts w:ascii="Inter" w:hAnsi="Inter" w:eastAsia="Noto Sans CJK JP"/>
          <w:color w:val="146C70"/>
        </w:rPr>
        <w:t xml:space="preserve">, </w:t>
      </w:r>
      <w:hyperlink w:anchor="ref20">
        <w:r>
          <w:rPr>
            <w:rFonts w:ascii="Inter" w:hAnsi="Inter" w:eastAsia="Noto Sans CJK JP"/>
            <w:color w:val="146C70"/>
            <w:sz w:val="21"/>
            <w:u w:val="single"/>
          </w:rPr>
          <w:t>20</w:t>
        </w:r>
      </w:hyperlink>
      <w:r>
        <w:rPr>
          <w:rFonts w:ascii="Inter" w:hAnsi="Inter" w:eastAsia="Noto Sans CJK JP"/>
          <w:color w:val="146C70"/>
        </w:rPr>
        <w:t>]</w:t>
      </w:r>
    </w:p>
    <w:p>
      <w:r>
        <w:rPr>
          <w:rFonts w:ascii="Inter" w:hAnsi="Inter" w:eastAsia="Noto Sans CJK JP"/>
          <w:b/>
        </w:rPr>
        <w:t>Equal hue, changing structure.</w:t>
      </w:r>
      <w:r>
        <w:rPr>
          <w:rFonts w:ascii="Inter" w:hAnsi="Inter" w:eastAsia="Noto Sans CJK JP"/>
        </w:rPr>
        <w:t xml:space="preserve"> Keep the hue family fixed while changing lightness and chroma. </w:t>
      </w:r>
      <w:r>
        <w:rPr>
          <w:rFonts w:ascii="Inter" w:hAnsi="Inter" w:eastAsia="Noto Sans CJK JP"/>
          <w:b/>
        </w:rPr>
        <w:t>Same colours, changing areas.</w:t>
      </w:r>
      <w:r>
        <w:rPr>
          <w:rFonts w:ascii="Inter" w:hAnsi="Inter" w:eastAsia="Noto Sans CJK JP"/>
        </w:rPr>
        <w:t xml:space="preserve"> Reassign proportions without introducing a new colour. </w:t>
      </w:r>
      <w:r>
        <w:rPr>
          <w:rFonts w:ascii="Inter" w:hAnsi="Inter" w:eastAsia="Noto Sans CJK JP"/>
          <w:b/>
        </w:rPr>
        <w:t>Same palette, different context.</w:t>
      </w:r>
      <w:r>
        <w:rPr>
          <w:rFonts w:ascii="Inter" w:hAnsi="Inter" w:eastAsia="Noto Sans CJK JP"/>
        </w:rPr>
        <w:t xml:space="preserve"> Compare a small swatch grid with a garment layout.</w:t>
      </w:r>
    </w:p>
    <w:p>
      <w:pPr>
        <w:pStyle w:val="Heading2"/>
      </w:pPr>
      <w:r>
        <w:rPr>
          <w:rFonts w:ascii="Inter" w:hAnsi="Inter" w:eastAsia="Noto Sans CJK JP"/>
        </w:rPr>
        <w:t>What explanations may say</w:t>
      </w:r>
    </w:p>
    <w:p>
      <w:r>
        <w:rPr>
          <w:rFonts w:ascii="Inter" w:hAnsi="Inter" w:eastAsia="Noto Sans CJK JP"/>
        </w:rPr>
        <w:t>The app can explain the rule used, the variables changed and the observed user response. It should not assert that a palette is harmonious because an influential author’s system produced it, or that a subjective association is a universal psychological response.</w:t>
      </w:r>
    </w:p>
    <w:p>
      <w:pPr>
        <w:spacing w:before="140" w:after="160"/>
        <w:ind w:left="187" w:right="144"/>
        <w:shd w:fill="EFF5F5"/>
        <w:pBdr>
          <w:left w:val="single" w:sz="18" w:color="146C70" w:space="7"/>
        </w:pBdr>
      </w:pPr>
      <w:r>
        <w:rPr>
          <w:rFonts w:ascii="Inter" w:hAnsi="Inter" w:eastAsia="Noto Sans CJK JP"/>
          <w:b/>
        </w:rPr>
        <w:t>Knowledge model</w:t>
      </w:r>
      <w:r>
        <w:rPr>
          <w:rFonts w:ascii="Inter" w:hAnsi="Inter" w:eastAsia="Noto Sans CJK JP"/>
        </w:rPr>
        <w:t xml:space="preserve">  Store a theory as a source-linked set of concepts, exercises and generation rules. Keep experimental results separate, so the theory remains testable rather than becoming the answer key.</w:t>
      </w:r>
    </w:p>
    <w:p>
      <w:r>
        <w:br w:type="page"/>
      </w:r>
    </w:p>
    <w:p>
      <w:pPr>
        <w:spacing w:after="120"/>
      </w:pPr>
      <w:r>
        <w:rPr>
          <w:rFonts w:ascii="Inter" w:hAnsi="Inter" w:eastAsia="Noto Sans CJK JP"/>
          <w:b/>
          <w:color w:val="146C70"/>
          <w:sz w:val="17"/>
        </w:rPr>
        <w:t>B / JAPANESE KNOWLEDGE</w:t>
      </w:r>
    </w:p>
    <w:p>
      <w:bookmarkStart w:id="9" w:name="sec9"/>
      <w:pPr>
        <w:pStyle w:val="Heading1"/>
      </w:pPr>
      <w:r>
        <w:rPr>
          <w:rFonts w:ascii="Inter" w:hAnsi="Inter" w:eastAsia="Noto Sans CJK JP"/>
        </w:rPr>
        <w:t>7. Japanese dictionaries and named colours</w:t>
      </w:r>
      <w:bookmarkEnd w:id="9"/>
    </w:p>
    <w:p>
      <w:pPr>
        <w:spacing w:after="200"/>
      </w:pPr>
      <w:r>
        <w:rPr>
          <w:rFonts w:ascii="Inter" w:hAnsi="Inter" w:eastAsia="Noto Sans CJK JP"/>
          <w:color w:val="53626E"/>
          <w:sz w:val="21"/>
        </w:rPr>
        <w:t>An authored colour dictionary, a traditional vocabulary and a clothing practice need separate records.</w:t>
      </w:r>
    </w:p>
    <w:p>
      <w:pPr>
        <w:pStyle w:val="Heading2"/>
      </w:pPr>
      <w:r>
        <w:rPr>
          <w:rFonts w:ascii="Inter" w:hAnsi="Inter" w:eastAsia="Noto Sans CJK JP"/>
        </w:rPr>
        <w:t>Sanzo Wada: a specific authored collection</w:t>
      </w:r>
    </w:p>
    <w:p>
      <w:r>
        <w:rPr>
          <w:rFonts w:ascii="Inter" w:hAnsi="Inter" w:eastAsia="Noto Sans CJK JP"/>
        </w:rPr>
        <w:t xml:space="preserve">Seigensha’s A Dictionary of Color Combinations presents 348 combinations. Its second volume draws on additional historical works, including seasonal combinations. These are identifiable publications and curated design sources—not a complete or timeless definition of Japanese colour. </w:t>
      </w:r>
      <w:r>
        <w:rPr>
          <w:rFonts w:ascii="Inter" w:hAnsi="Inter" w:eastAsia="Noto Sans CJK JP"/>
          <w:color w:val="146C70"/>
        </w:rPr>
        <w:t>[</w:t>
      </w:r>
      <w:hyperlink w:anchor="ref22">
        <w:r>
          <w:rPr>
            <w:rFonts w:ascii="Inter" w:hAnsi="Inter" w:eastAsia="Noto Sans CJK JP"/>
            <w:color w:val="146C70"/>
            <w:sz w:val="21"/>
            <w:u w:val="single"/>
          </w:rPr>
          <w:t>22</w:t>
        </w:r>
      </w:hyperlink>
      <w:r>
        <w:rPr>
          <w:rFonts w:ascii="Inter" w:hAnsi="Inter" w:eastAsia="Noto Sans CJK JP"/>
          <w:color w:val="146C70"/>
        </w:rPr>
        <w:t xml:space="preserve">, </w:t>
      </w:r>
      <w:hyperlink w:anchor="ref23">
        <w:r>
          <w:rPr>
            <w:rFonts w:ascii="Inter" w:hAnsi="Inter" w:eastAsia="Noto Sans CJK JP"/>
            <w:color w:val="146C70"/>
            <w:sz w:val="21"/>
            <w:u w:val="single"/>
          </w:rPr>
          <w:t>23</w:t>
        </w:r>
      </w:hyperlink>
      <w:r>
        <w:rPr>
          <w:rFonts w:ascii="Inter" w:hAnsi="Inter" w:eastAsia="Noto Sans CJK JP"/>
          <w:color w:val="146C70"/>
        </w:rPr>
        <w:t>]</w:t>
      </w:r>
    </w:p>
    <w:p>
      <w:r>
        <w:rPr>
          <w:rFonts w:ascii="Inter" w:hAnsi="Inter" w:eastAsia="Noto Sans CJK JP"/>
          <w:b/>
        </w:rPr>
        <w:t>Product requirement:</w:t>
      </w:r>
      <w:r>
        <w:rPr>
          <w:rFonts w:ascii="Inter" w:hAnsi="Inter" w:eastAsia="Noto Sans CJK JP"/>
        </w:rPr>
        <w:t xml:space="preserve"> represent the work, edition, author, source pages, combination order and reproduction status. Bibliographic browsing can precede licensed reproduction. Do not imply that buying a copy authorises republishing its full collection as an app database. </w:t>
      </w:r>
      <w:r>
        <w:rPr>
          <w:rFonts w:ascii="Inter" w:hAnsi="Inter" w:eastAsia="Noto Sans CJK JP"/>
          <w:color w:val="146C70"/>
        </w:rPr>
        <w:t>[</w:t>
      </w:r>
      <w:hyperlink w:anchor="ref27">
        <w:r>
          <w:rPr>
            <w:rFonts w:ascii="Inter" w:hAnsi="Inter" w:eastAsia="Noto Sans CJK JP"/>
            <w:color w:val="146C70"/>
            <w:sz w:val="21"/>
            <w:u w:val="single"/>
          </w:rPr>
          <w:t>27</w:t>
        </w:r>
      </w:hyperlink>
      <w:r>
        <w:rPr>
          <w:rFonts w:ascii="Inter" w:hAnsi="Inter" w:eastAsia="Noto Sans CJK JP"/>
          <w:color w:val="146C70"/>
        </w:rPr>
        <w:t>]</w:t>
      </w:r>
    </w:p>
    <w:p>
      <w:pPr>
        <w:pStyle w:val="Heading2"/>
      </w:pPr>
      <w:r>
        <w:rPr>
          <w:rFonts w:ascii="Inter" w:hAnsi="Inter" w:eastAsia="Noto Sans CJK JP"/>
        </w:rPr>
        <w:t>Traditional vocabulary: the Nihon no iro research track</w:t>
      </w:r>
    </w:p>
    <w:p>
      <w:r>
        <w:rPr>
          <w:rFonts w:ascii="Inter" w:hAnsi="Inter" w:eastAsia="Noto Sans CJK JP"/>
        </w:rPr>
        <w:t xml:space="preserve">Initial research should cover the names already discussed: </w:t>
      </w:r>
      <w:r>
        <w:rPr>
          <w:rFonts w:ascii="Inter" w:hAnsi="Inter" w:eastAsia="Noto Sans CJK JP"/>
          <w:b/>
        </w:rPr>
        <w:t>Ai, Beni, Murasaki, Kachi-iro, Uguisu-iro, Asagi, Kitsune-iro, Sakura-iro, Moegi and Shiro</w:t>
      </w:r>
      <w:r>
        <w:rPr>
          <w:rFonts w:ascii="Inter" w:hAnsi="Inter" w:eastAsia="Noto Sans CJK JP"/>
        </w:rPr>
        <w:t>. These are a candidate research list, not approved colour chips. The dictionary must verify Japanese spelling, transliteration, context, material associations and each proposed digital representation before publication.</w:t>
      </w:r>
    </w:p>
    <w:tbl>
      <w:tblPr>
        <w:tblW w:type="auto" w:w="0"/>
        <w:jc w:val="center"/>
        <w:tblLayout w:type="fixed"/>
        <w:tblLook w:firstColumn="1" w:firstRow="1" w:lastColumn="0" w:lastRow="0" w:noHBand="0" w:noVBand="1" w:val="04A0"/>
      </w:tblPr>
      <w:tblGrid>
        <w:gridCol w:w="2333"/>
        <w:gridCol w:w="7499"/>
      </w:tblGrid>
      <w:tr>
        <w:trPr>
          <w:tblHeader w:val="true"/>
        </w:trPr>
        <w:tc>
          <w:tcPr>
            <w:tcW w:type="dxa" w:w="2333"/>
            <w:shd w:fill="173146"/>
            <w:tcMar>
              <w:top w:w="95" w:type="dxa"/>
              <w:start w:w="105" w:type="dxa"/>
              <w:bottom w:w="95" w:type="dxa"/>
              <w:end w:w="105" w:type="dxa"/>
            </w:tcMar>
          </w:tcPr>
          <w:p>
            <w:pPr>
              <w:widowControl w:val="0"/>
              <w:spacing w:after="0"/>
            </w:pPr>
            <w:r>
              <w:rPr>
                <w:rFonts w:ascii="Inter" w:hAnsi="Inter" w:eastAsia="Noto Sans CJK JP"/>
                <w:b/>
                <w:color w:val="FFFFFF"/>
                <w:sz w:val="18"/>
              </w:rPr>
              <w:t>Record type</w:t>
            </w:r>
          </w:p>
        </w:tc>
        <w:tc>
          <w:tcPr>
            <w:tcW w:type="dxa" w:w="7499"/>
            <w:shd w:fill="173146"/>
            <w:tcMar>
              <w:top w:w="95" w:type="dxa"/>
              <w:start w:w="105" w:type="dxa"/>
              <w:bottom w:w="95" w:type="dxa"/>
              <w:end w:w="105" w:type="dxa"/>
            </w:tcMar>
          </w:tcPr>
          <w:p>
            <w:pPr>
              <w:widowControl w:val="0"/>
              <w:spacing w:after="0"/>
            </w:pPr>
            <w:r>
              <w:rPr>
                <w:rFonts w:ascii="Inter" w:hAnsi="Inter" w:eastAsia="Noto Sans CJK JP"/>
                <w:b/>
                <w:color w:val="FFFFFF"/>
                <w:sz w:val="18"/>
              </w:rPr>
              <w:t>Required distinction</w:t>
            </w:r>
          </w:p>
        </w:tc>
      </w:tr>
      <w:tr>
        <w:trPr>
          <w:cantSplit/>
        </w:trPr>
        <w:tc>
          <w:tcPr>
            <w:tcW w:type="dxa" w:w="233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Name / lexical entry</w:t>
            </w:r>
          </w:p>
        </w:tc>
        <w:tc>
          <w:tcPr>
            <w:tcW w:type="dxa" w:w="749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The word, script, transliteration and source-specific definition.</w:t>
            </w:r>
          </w:p>
        </w:tc>
      </w:tr>
      <w:tr>
        <w:trPr>
          <w:cantSplit/>
        </w:trPr>
        <w:tc>
          <w:tcPr>
            <w:tcW w:type="dxa" w:w="233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Dye or material reference</w:t>
            </w:r>
          </w:p>
        </w:tc>
        <w:tc>
          <w:tcPr>
            <w:tcW w:type="dxa" w:w="7499"/>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A material/process association; not automatically a single appearance.</w:t>
            </w:r>
          </w:p>
        </w:tc>
      </w:tr>
      <w:tr>
        <w:trPr>
          <w:cantSplit/>
        </w:trPr>
        <w:tc>
          <w:tcPr>
            <w:tcW w:type="dxa" w:w="233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Measured sample</w:t>
            </w:r>
          </w:p>
        </w:tc>
        <w:tc>
          <w:tcPr>
            <w:tcW w:type="dxa" w:w="749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A specific physical sample with measurement conditions and provenance.</w:t>
            </w:r>
          </w:p>
        </w:tc>
      </w:tr>
      <w:tr>
        <w:trPr>
          <w:cantSplit/>
        </w:trPr>
        <w:tc>
          <w:tcPr>
            <w:tcW w:type="dxa" w:w="233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Modern digital approximation</w:t>
            </w:r>
          </w:p>
        </w:tc>
        <w:tc>
          <w:tcPr>
            <w:tcW w:type="dxa" w:w="7499"/>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An explicitly labelled representation, with its creator and conversion method.</w:t>
            </w:r>
          </w:p>
        </w:tc>
      </w:tr>
      <w:tr>
        <w:trPr>
          <w:cantSplit/>
        </w:trPr>
        <w:tc>
          <w:tcPr>
            <w:tcW w:type="dxa" w:w="233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Authored combination</w:t>
            </w:r>
          </w:p>
        </w:tc>
        <w:tc>
          <w:tcPr>
            <w:tcW w:type="dxa" w:w="749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A particular arrangement attributed to a documented publication or designer.</w:t>
            </w:r>
          </w:p>
        </w:tc>
      </w:tr>
    </w:tbl>
    <w:p>
      <w:pPr>
        <w:spacing w:after="0"/>
      </w:pPr>
    </w:p>
    <w:p>
      <w:pPr>
        <w:pStyle w:val="Heading2"/>
      </w:pPr>
      <w:r>
        <w:rPr>
          <w:rFonts w:ascii="Inter" w:hAnsi="Inter" w:eastAsia="Noto Sans CJK JP"/>
        </w:rPr>
        <w:t>Avoid a single “Japanese aesthetic”</w:t>
      </w:r>
    </w:p>
    <w:p>
      <w:r>
        <w:rPr>
          <w:rFonts w:ascii="Inter" w:hAnsi="Inter" w:eastAsia="Noto Sans CJK JP"/>
        </w:rPr>
        <w:t>Do not prefilter every Japanese record into “muted”, “minimalist” or “low saturation”. Source records may support very different contexts, visual intensities and uses. The interface should expose the record’s evidence and allow perceptual filtering as a separate user choice.</w:t>
      </w:r>
    </w:p>
    <w:p>
      <w:pPr>
        <w:spacing w:before="140" w:after="160"/>
        <w:ind w:left="187" w:right="144"/>
        <w:shd w:fill="EFF5F5"/>
        <w:pBdr>
          <w:left w:val="single" w:sz="18" w:color="146C70" w:space="7"/>
        </w:pBdr>
      </w:pPr>
      <w:r>
        <w:rPr>
          <w:rFonts w:ascii="Inter" w:hAnsi="Inter" w:eastAsia="Noto Sans CJK JP"/>
          <w:b/>
        </w:rPr>
        <w:t>Initial dataset requirement</w:t>
      </w:r>
      <w:r>
        <w:rPr>
          <w:rFonts w:ascii="Inter" w:hAnsi="Inter" w:eastAsia="Noto Sans CJK JP"/>
        </w:rPr>
        <w:t xml:space="preserve">  Japanese entries and combinations must appear in the first curated release. The release manifest must state which records are source-verified, which are approximations, and which cannot yet be reproduced.</w:t>
      </w:r>
    </w:p>
    <w:p>
      <w:r>
        <w:br w:type="page"/>
      </w:r>
    </w:p>
    <w:p>
      <w:pPr>
        <w:spacing w:after="120"/>
      </w:pPr>
      <w:r>
        <w:rPr>
          <w:rFonts w:ascii="Inter" w:hAnsi="Inter" w:eastAsia="Noto Sans CJK JP"/>
          <w:b/>
          <w:color w:val="146C70"/>
          <w:sz w:val="17"/>
        </w:rPr>
        <w:t>B / JAPANESE KNOWLEDGE</w:t>
      </w:r>
    </w:p>
    <w:p>
      <w:bookmarkStart w:id="10" w:name="sec10"/>
      <w:pPr>
        <w:pStyle w:val="Heading1"/>
      </w:pPr>
      <w:r>
        <w:rPr>
          <w:rFonts w:ascii="Inter" w:hAnsi="Inter" w:eastAsia="Noto Sans CJK JP"/>
        </w:rPr>
        <w:t>8. Layering, season and material</w:t>
      </w:r>
      <w:bookmarkEnd w:id="10"/>
    </w:p>
    <w:p>
      <w:pPr>
        <w:spacing w:after="200"/>
      </w:pPr>
      <w:r>
        <w:rPr>
          <w:rFonts w:ascii="Inter" w:hAnsi="Inter" w:eastAsia="Noto Sans CJK JP"/>
          <w:color w:val="53626E"/>
          <w:sz w:val="21"/>
        </w:rPr>
        <w:t>Kasane-no-irome adds relationships that a flat, unordered palette cannot preserve.</w:t>
      </w:r>
    </w:p>
    <w:p>
      <w:r>
        <w:rPr>
          <w:rFonts w:ascii="Inter" w:hAnsi="Inter" w:eastAsia="Noto Sans CJK JP"/>
        </w:rPr>
        <w:t xml:space="preserve">Seigensha’s Layered Colors describes kasane relationships involving outer and lining colours, and their extension into visible garment layers. Japan House’s discussion of clothing in The Tale of Genji connects combinations with season and the natural world in a particular historical setting. They describe contextual clothing practices, not universal palette rules. </w:t>
      </w:r>
      <w:r>
        <w:rPr>
          <w:rFonts w:ascii="Inter" w:hAnsi="Inter" w:eastAsia="Noto Sans CJK JP"/>
          <w:color w:val="146C70"/>
        </w:rPr>
        <w:t>[</w:t>
      </w:r>
      <w:hyperlink w:anchor="ref24">
        <w:r>
          <w:rPr>
            <w:rFonts w:ascii="Inter" w:hAnsi="Inter" w:eastAsia="Noto Sans CJK JP"/>
            <w:color w:val="146C70"/>
            <w:sz w:val="21"/>
            <w:u w:val="single"/>
          </w:rPr>
          <w:t>24</w:t>
        </w:r>
      </w:hyperlink>
      <w:r>
        <w:rPr>
          <w:rFonts w:ascii="Inter" w:hAnsi="Inter" w:eastAsia="Noto Sans CJK JP"/>
          <w:color w:val="146C70"/>
        </w:rPr>
        <w:t xml:space="preserve">, </w:t>
      </w:r>
      <w:hyperlink w:anchor="ref25">
        <w:r>
          <w:rPr>
            <w:rFonts w:ascii="Inter" w:hAnsi="Inter" w:eastAsia="Noto Sans CJK JP"/>
            <w:color w:val="146C70"/>
            <w:sz w:val="21"/>
            <w:u w:val="single"/>
          </w:rPr>
          <w:t>25</w:t>
        </w:r>
      </w:hyperlink>
      <w:r>
        <w:rPr>
          <w:rFonts w:ascii="Inter" w:hAnsi="Inter" w:eastAsia="Noto Sans CJK JP"/>
          <w:color w:val="146C70"/>
        </w:rPr>
        <w:t>]</w:t>
      </w:r>
    </w:p>
    <w:p>
      <w:pPr>
        <w:pStyle w:val="Heading2"/>
      </w:pPr>
      <w:r>
        <w:rPr>
          <w:rFonts w:ascii="Inter" w:hAnsi="Inter" w:eastAsia="Noto Sans CJK JP"/>
        </w:rPr>
        <w:t>Required layered-combination record</w:t>
      </w:r>
    </w:p>
    <w:tbl>
      <w:tblPr>
        <w:tblW w:type="auto" w:w="0"/>
        <w:jc w:val="center"/>
        <w:tblLayout w:type="fixed"/>
        <w:tblLook w:firstColumn="1" w:firstRow="1" w:lastColumn="0" w:lastRow="0" w:noHBand="0" w:noVBand="1" w:val="04A0"/>
      </w:tblPr>
      <w:tblGrid>
        <w:gridCol w:w="2246"/>
        <w:gridCol w:w="7585"/>
      </w:tblGrid>
      <w:tr>
        <w:trPr>
          <w:tblHeader w:val="true"/>
        </w:trPr>
        <w:tc>
          <w:tcPr>
            <w:tcW w:type="dxa" w:w="2246"/>
            <w:shd w:fill="173146"/>
            <w:tcMar>
              <w:top w:w="95" w:type="dxa"/>
              <w:start w:w="105" w:type="dxa"/>
              <w:bottom w:w="95" w:type="dxa"/>
              <w:end w:w="105" w:type="dxa"/>
            </w:tcMar>
          </w:tcPr>
          <w:p>
            <w:pPr>
              <w:widowControl w:val="0"/>
              <w:spacing w:after="0"/>
            </w:pPr>
            <w:r>
              <w:rPr>
                <w:rFonts w:ascii="Inter" w:hAnsi="Inter" w:eastAsia="Noto Sans CJK JP"/>
                <w:b/>
                <w:color w:val="FFFFFF"/>
                <w:sz w:val="18"/>
              </w:rPr>
              <w:t>Field</w:t>
            </w:r>
          </w:p>
        </w:tc>
        <w:tc>
          <w:tcPr>
            <w:tcW w:type="dxa" w:w="7585"/>
            <w:shd w:fill="173146"/>
            <w:tcMar>
              <w:top w:w="95" w:type="dxa"/>
              <w:start w:w="105" w:type="dxa"/>
              <w:bottom w:w="95" w:type="dxa"/>
              <w:end w:w="105" w:type="dxa"/>
            </w:tcMar>
          </w:tcPr>
          <w:p>
            <w:pPr>
              <w:widowControl w:val="0"/>
              <w:spacing w:after="0"/>
            </w:pPr>
            <w:r>
              <w:rPr>
                <w:rFonts w:ascii="Inter" w:hAnsi="Inter" w:eastAsia="Noto Sans CJK JP"/>
                <w:b/>
                <w:color w:val="FFFFFF"/>
                <w:sz w:val="18"/>
              </w:rPr>
              <w:t>What must be retained</w:t>
            </w:r>
          </w:p>
        </w:tc>
      </w:tr>
      <w:tr>
        <w:trPr>
          <w:cantSplit/>
        </w:trPr>
        <w:tc>
          <w:tcPr>
            <w:tcW w:type="dxa" w:w="2246"/>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Identity and evidence</w:t>
            </w:r>
          </w:p>
        </w:tc>
        <w:tc>
          <w:tcPr>
            <w:tcW w:type="dxa" w:w="7585"/>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Name, script, source, edition/page or object reference, and the basis for the attribution.</w:t>
            </w:r>
          </w:p>
        </w:tc>
      </w:tr>
      <w:tr>
        <w:trPr>
          <w:cantSplit/>
        </w:trPr>
        <w:tc>
          <w:tcPr>
            <w:tcW w:type="dxa" w:w="2246"/>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Order and visibility</w:t>
            </w:r>
          </w:p>
        </w:tc>
        <w:tc>
          <w:tcPr>
            <w:tcW w:type="dxa" w:w="7585"/>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Inner-to-outer order, front/lining relationships, and visible areas at collar, sleeve or hem where documented.</w:t>
            </w:r>
          </w:p>
        </w:tc>
      </w:tr>
      <w:tr>
        <w:trPr>
          <w:cantSplit/>
        </w:trPr>
        <w:tc>
          <w:tcPr>
            <w:tcW w:type="dxa" w:w="2246"/>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Season and calendar</w:t>
            </w:r>
          </w:p>
        </w:tc>
        <w:tc>
          <w:tcPr>
            <w:tcW w:type="dxa" w:w="7585"/>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Source-specific seasonal reference. Keep historical terminology and avoid silently replacing it with a modern calendar date.</w:t>
            </w:r>
          </w:p>
        </w:tc>
      </w:tr>
      <w:tr>
        <w:trPr>
          <w:cantSplit/>
        </w:trPr>
        <w:tc>
          <w:tcPr>
            <w:tcW w:type="dxa" w:w="2246"/>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Material and process</w:t>
            </w:r>
          </w:p>
        </w:tc>
        <w:tc>
          <w:tcPr>
            <w:tcW w:type="dxa" w:w="7585"/>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Fabric, dye/process reference, opacity or translucency when known; unknowns remain explicit.</w:t>
            </w:r>
          </w:p>
        </w:tc>
      </w:tr>
      <w:tr>
        <w:trPr>
          <w:cantSplit/>
        </w:trPr>
        <w:tc>
          <w:tcPr>
            <w:tcW w:type="dxa" w:w="2246"/>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Interpretation status</w:t>
            </w:r>
          </w:p>
        </w:tc>
        <w:tc>
          <w:tcPr>
            <w:tcW w:type="dxa" w:w="7585"/>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Historical description, modern reconstruction, measured sample or new adaptation.</w:t>
            </w:r>
          </w:p>
        </w:tc>
      </w:tr>
      <w:tr>
        <w:trPr>
          <w:cantSplit/>
        </w:trPr>
        <w:tc>
          <w:tcPr>
            <w:tcW w:type="dxa" w:w="2246"/>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Digital mapping</w:t>
            </w:r>
          </w:p>
        </w:tc>
        <w:tc>
          <w:tcPr>
            <w:tcW w:type="dxa" w:w="7585"/>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One or more approximate screen representations, with the method and its limits.</w:t>
            </w:r>
          </w:p>
        </w:tc>
      </w:tr>
    </w:tbl>
    <w:p>
      <w:pPr>
        <w:spacing w:after="0"/>
      </w:pPr>
    </w:p>
    <w:p>
      <w:pPr>
        <w:pStyle w:val="Heading2"/>
      </w:pPr>
      <w:r>
        <w:rPr>
          <w:rFonts w:ascii="Inter" w:hAnsi="Inter" w:eastAsia="Noto Sans CJK JP"/>
        </w:rPr>
        <w:t>Two distinct experiment modes</w:t>
      </w:r>
    </w:p>
    <w:p>
      <w:r>
        <w:rPr>
          <w:rFonts w:ascii="Inter" w:hAnsi="Inter" w:eastAsia="Noto Sans CJK JP"/>
          <w:b/>
        </w:rPr>
        <w:t>Study mode</w:t>
      </w:r>
      <w:r>
        <w:rPr>
          <w:rFonts w:ascii="Inter" w:hAnsi="Inter" w:eastAsia="Noto Sans CJK JP"/>
        </w:rPr>
        <w:t xml:space="preserve"> preserves the source’s documented order and relationships. </w:t>
      </w:r>
      <w:r>
        <w:rPr>
          <w:rFonts w:ascii="Inter" w:hAnsi="Inter" w:eastAsia="Noto Sans CJK JP"/>
          <w:b/>
        </w:rPr>
        <w:t>Adaptation mode</w:t>
      </w:r>
      <w:r>
        <w:rPr>
          <w:rFonts w:ascii="Inter" w:hAnsi="Inter" w:eastAsia="Noto Sans CJK JP"/>
        </w:rPr>
        <w:t xml:space="preserve"> lets a user apply the idea to a modern garment, replace materials or change proportions. The result must be labelled an adaptation, with a link back to its starting record—not presented as the original historical combination.</w:t>
      </w:r>
    </w:p>
    <w:p>
      <w:pPr>
        <w:pStyle w:val="Heading2"/>
      </w:pPr>
      <w:r>
        <w:rPr>
          <w:rFonts w:ascii="Inter" w:hAnsi="Inter" w:eastAsia="Noto Sans CJK JP"/>
        </w:rPr>
        <w:t>Colour is connected to making</w:t>
      </w:r>
    </w:p>
    <w:p>
      <w:r>
        <w:rPr>
          <w:rFonts w:ascii="Inter" w:hAnsi="Inter" w:eastAsia="Noto Sans CJK JP"/>
        </w:rPr>
        <w:t xml:space="preserve">Japan House’s work with the Yoshioka dyeing tradition provides a useful route into documenting practice and material processes alongside colour names. A future material record should link a practitioner or workshop account, the sample and its observation conditions rather than reducing a process to a hex code. </w:t>
      </w:r>
      <w:r>
        <w:rPr>
          <w:rFonts w:ascii="Inter" w:hAnsi="Inter" w:eastAsia="Noto Sans CJK JP"/>
          <w:color w:val="146C70"/>
        </w:rPr>
        <w:t>[</w:t>
      </w:r>
      <w:hyperlink w:anchor="ref26">
        <w:r>
          <w:rPr>
            <w:rFonts w:ascii="Inter" w:hAnsi="Inter" w:eastAsia="Noto Sans CJK JP"/>
            <w:color w:val="146C70"/>
            <w:sz w:val="21"/>
            <w:u w:val="single"/>
          </w:rPr>
          <w:t>26</w:t>
        </w:r>
      </w:hyperlink>
      <w:r>
        <w:rPr>
          <w:rFonts w:ascii="Inter" w:hAnsi="Inter" w:eastAsia="Noto Sans CJK JP"/>
          <w:color w:val="146C70"/>
        </w:rPr>
        <w:t>]</w:t>
      </w:r>
    </w:p>
    <w:p>
      <w:pPr>
        <w:spacing w:before="140" w:after="160"/>
        <w:ind w:left="187" w:right="144"/>
        <w:shd w:fill="EFF5F5"/>
        <w:pBdr>
          <w:left w:val="single" w:sz="18" w:color="146C70" w:space="7"/>
        </w:pBdr>
      </w:pPr>
      <w:r>
        <w:rPr>
          <w:rFonts w:ascii="Inter" w:hAnsi="Inter" w:eastAsia="Noto Sans CJK JP"/>
          <w:b/>
        </w:rPr>
        <w:t>Garment requirement</w:t>
      </w:r>
      <w:r>
        <w:rPr>
          <w:rFonts w:ascii="Inter" w:hAnsi="Inter" w:eastAsia="Noto Sans CJK JP"/>
        </w:rPr>
        <w:t xml:space="preserve">  Support ordered layers and lining/outer-region relationships as first-class structures. A flat list of swatches cannot stand in for a layered clothing arrangement.</w:t>
      </w:r>
    </w:p>
    <w:p>
      <w:r>
        <w:br w:type="page"/>
      </w:r>
    </w:p>
    <w:p>
      <w:pPr>
        <w:spacing w:after="120"/>
      </w:pPr>
      <w:r>
        <w:rPr>
          <w:rFonts w:ascii="Inter" w:hAnsi="Inter" w:eastAsia="Noto Sans CJK JP"/>
          <w:b/>
          <w:color w:val="146C70"/>
          <w:sz w:val="17"/>
        </w:rPr>
        <w:t>B / CHINESE KNOWLEDGE</w:t>
      </w:r>
    </w:p>
    <w:p>
      <w:bookmarkStart w:id="11" w:name="sec11"/>
      <w:pPr>
        <w:pStyle w:val="Heading1"/>
      </w:pPr>
      <w:r>
        <w:rPr>
          <w:rFonts w:ascii="Inter" w:hAnsi="Inter" w:eastAsia="Noto Sans CJK JP"/>
        </w:rPr>
        <w:t>9. Chinese frameworks and colour vocabulary</w:t>
      </w:r>
      <w:bookmarkEnd w:id="11"/>
    </w:p>
    <w:p>
      <w:pPr>
        <w:spacing w:after="200"/>
      </w:pPr>
      <w:r>
        <w:rPr>
          <w:rFonts w:ascii="Inter" w:hAnsi="Inter" w:eastAsia="Noto Sans CJK JP"/>
          <w:color w:val="53626E"/>
          <w:sz w:val="21"/>
        </w:rPr>
        <w:t>Wuxing is one important framework; it is not the whole of Chinese colour knowledge.</w:t>
      </w:r>
    </w:p>
    <w:p>
      <w:r>
        <w:rPr>
          <w:rFonts w:ascii="Inter" w:hAnsi="Inter" w:eastAsia="Noto Sans CJK JP"/>
        </w:rPr>
        <w:t xml:space="preserve">Wuxing is commonly translated as the Five Phases: wood, fire, earth, metal and water. It describes interconnected processes and correspondences rather than five modern chemical elements. Historical accounts relate colours to these phases; translations and contexts must remain attached to the record. </w:t>
      </w:r>
      <w:r>
        <w:rPr>
          <w:rFonts w:ascii="Inter" w:hAnsi="Inter" w:eastAsia="Noto Sans CJK JP"/>
          <w:color w:val="146C70"/>
        </w:rPr>
        <w:t>[</w:t>
      </w:r>
      <w:hyperlink w:anchor="ref28">
        <w:r>
          <w:rPr>
            <w:rFonts w:ascii="Inter" w:hAnsi="Inter" w:eastAsia="Noto Sans CJK JP"/>
            <w:color w:val="146C70"/>
            <w:sz w:val="21"/>
            <w:u w:val="single"/>
          </w:rPr>
          <w:t>28</w:t>
        </w:r>
      </w:hyperlink>
      <w:r>
        <w:rPr>
          <w:rFonts w:ascii="Inter" w:hAnsi="Inter" w:eastAsia="Noto Sans CJK JP"/>
          <w:color w:val="146C70"/>
        </w:rPr>
        <w:t xml:space="preserve">, </w:t>
      </w:r>
      <w:hyperlink w:anchor="ref29">
        <w:r>
          <w:rPr>
            <w:rFonts w:ascii="Inter" w:hAnsi="Inter" w:eastAsia="Noto Sans CJK JP"/>
            <w:color w:val="146C70"/>
            <w:sz w:val="21"/>
            <w:u w:val="single"/>
          </w:rPr>
          <w:t>29</w:t>
        </w:r>
      </w:hyperlink>
      <w:r>
        <w:rPr>
          <w:rFonts w:ascii="Inter" w:hAnsi="Inter" w:eastAsia="Noto Sans CJK JP"/>
          <w:color w:val="146C70"/>
        </w:rPr>
        <w:t>]</w:t>
      </w:r>
    </w:p>
    <w:tbl>
      <w:tblPr>
        <w:tblW w:type="auto" w:w="0"/>
        <w:jc w:val="center"/>
        <w:tblLayout w:type="fixed"/>
        <w:tblLook w:firstColumn="1" w:firstRow="1" w:lastColumn="0" w:lastRow="0" w:noHBand="0" w:noVBand="1" w:val="04A0"/>
      </w:tblPr>
      <w:tblGrid>
        <w:gridCol w:w="1699"/>
        <w:gridCol w:w="3226"/>
        <w:gridCol w:w="4907"/>
      </w:tblGrid>
      <w:tr>
        <w:trPr>
          <w:tblHeader w:val="true"/>
        </w:trPr>
        <w:tc>
          <w:tcPr>
            <w:tcW w:type="dxa" w:w="1699"/>
            <w:shd w:fill="173146"/>
            <w:tcMar>
              <w:top w:w="95" w:type="dxa"/>
              <w:start w:w="105" w:type="dxa"/>
              <w:bottom w:w="95" w:type="dxa"/>
              <w:end w:w="105" w:type="dxa"/>
            </w:tcMar>
          </w:tcPr>
          <w:p>
            <w:pPr>
              <w:widowControl w:val="0"/>
              <w:spacing w:after="0"/>
            </w:pPr>
            <w:r>
              <w:rPr>
                <w:rFonts w:ascii="Inter" w:hAnsi="Inter" w:eastAsia="Noto Sans CJK JP"/>
                <w:b/>
                <w:color w:val="FFFFFF"/>
                <w:sz w:val="18"/>
              </w:rPr>
              <w:t>Phase</w:t>
            </w:r>
          </w:p>
        </w:tc>
        <w:tc>
          <w:tcPr>
            <w:tcW w:type="dxa" w:w="3226"/>
            <w:shd w:fill="173146"/>
            <w:tcMar>
              <w:top w:w="95" w:type="dxa"/>
              <w:start w:w="105" w:type="dxa"/>
              <w:bottom w:w="95" w:type="dxa"/>
              <w:end w:w="105" w:type="dxa"/>
            </w:tcMar>
          </w:tcPr>
          <w:p>
            <w:pPr>
              <w:widowControl w:val="0"/>
              <w:spacing w:after="0"/>
            </w:pPr>
            <w:r>
              <w:rPr>
                <w:rFonts w:ascii="Inter" w:hAnsi="Inter" w:eastAsia="Noto Sans CJK JP"/>
                <w:b/>
                <w:color w:val="FFFFFF"/>
                <w:sz w:val="18"/>
              </w:rPr>
              <w:t>Conventional colour association</w:t>
            </w:r>
          </w:p>
        </w:tc>
        <w:tc>
          <w:tcPr>
            <w:tcW w:type="dxa" w:w="4907"/>
            <w:shd w:fill="173146"/>
            <w:tcMar>
              <w:top w:w="95" w:type="dxa"/>
              <w:start w:w="105" w:type="dxa"/>
              <w:bottom w:w="95" w:type="dxa"/>
              <w:end w:w="105" w:type="dxa"/>
            </w:tcMar>
          </w:tcPr>
          <w:p>
            <w:pPr>
              <w:widowControl w:val="0"/>
              <w:spacing w:after="0"/>
            </w:pPr>
            <w:r>
              <w:rPr>
                <w:rFonts w:ascii="Inter" w:hAnsi="Inter" w:eastAsia="Noto Sans CJK JP"/>
                <w:b/>
                <w:color w:val="FFFFFF"/>
                <w:sz w:val="18"/>
              </w:rPr>
              <w:t>Application rule</w:t>
            </w:r>
          </w:p>
        </w:tc>
      </w:tr>
      <w:tr>
        <w:trPr>
          <w:cantSplit/>
        </w:trPr>
        <w:tc>
          <w:tcPr>
            <w:tcW w:type="dxa" w:w="169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Wood · 木</w:t>
            </w:r>
          </w:p>
        </w:tc>
        <w:tc>
          <w:tcPr>
            <w:tcW w:type="dxa" w:w="3226"/>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Qing · 青; a blue/green category</w:t>
            </w:r>
          </w:p>
        </w:tc>
        <w:tc>
          <w:tcPr>
            <w:tcW w:type="dxa" w:w="4907"/>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Do not force the name into one universal RGB hue.</w:t>
            </w:r>
          </w:p>
        </w:tc>
      </w:tr>
      <w:tr>
        <w:trPr>
          <w:cantSplit/>
        </w:trPr>
        <w:tc>
          <w:tcPr>
            <w:tcW w:type="dxa" w:w="1699"/>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Fire · 火</w:t>
            </w:r>
          </w:p>
        </w:tc>
        <w:tc>
          <w:tcPr>
            <w:tcW w:type="dxa" w:w="3226"/>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Chi · 赤 / red</w:t>
            </w:r>
          </w:p>
        </w:tc>
        <w:tc>
          <w:tcPr>
            <w:tcW w:type="dxa" w:w="4907"/>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Keep symbolic association separate from hue-angle harmony.</w:t>
            </w:r>
          </w:p>
        </w:tc>
      </w:tr>
      <w:tr>
        <w:trPr>
          <w:cantSplit/>
        </w:trPr>
        <w:tc>
          <w:tcPr>
            <w:tcW w:type="dxa" w:w="169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Earth · 土</w:t>
            </w:r>
          </w:p>
        </w:tc>
        <w:tc>
          <w:tcPr>
            <w:tcW w:type="dxa" w:w="3226"/>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Huang · 黄 / yellow</w:t>
            </w:r>
          </w:p>
        </w:tc>
        <w:tc>
          <w:tcPr>
            <w:tcW w:type="dxa" w:w="4907"/>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Retain source and historical setting.</w:t>
            </w:r>
          </w:p>
        </w:tc>
      </w:tr>
      <w:tr>
        <w:trPr>
          <w:cantSplit/>
        </w:trPr>
        <w:tc>
          <w:tcPr>
            <w:tcW w:type="dxa" w:w="1699"/>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Metal · 金</w:t>
            </w:r>
          </w:p>
        </w:tc>
        <w:tc>
          <w:tcPr>
            <w:tcW w:type="dxa" w:w="3226"/>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Bai · 白 / white</w:t>
            </w:r>
          </w:p>
        </w:tc>
        <w:tc>
          <w:tcPr>
            <w:tcW w:type="dxa" w:w="4907"/>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Do not equate symbolism with a measured material.</w:t>
            </w:r>
          </w:p>
        </w:tc>
      </w:tr>
      <w:tr>
        <w:trPr>
          <w:cantSplit/>
        </w:trPr>
        <w:tc>
          <w:tcPr>
            <w:tcW w:type="dxa" w:w="169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Water · 水</w:t>
            </w:r>
          </w:p>
        </w:tc>
        <w:tc>
          <w:tcPr>
            <w:tcW w:type="dxa" w:w="3226"/>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Hei · 黑 / black</w:t>
            </w:r>
          </w:p>
        </w:tc>
        <w:tc>
          <w:tcPr>
            <w:tcW w:type="dxa" w:w="4907"/>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Do not infer physical mixture rules from the association.</w:t>
            </w:r>
          </w:p>
        </w:tc>
      </w:tr>
    </w:tbl>
    <w:p>
      <w:pPr>
        <w:spacing w:after="0"/>
      </w:pPr>
    </w:p>
    <w:p>
      <w:r>
        <w:rPr>
          <w:rFonts w:ascii="Inter" w:hAnsi="Inter" w:eastAsia="Noto Sans CJK JP"/>
        </w:rPr>
        <w:t xml:space="preserve">The table is a contextual reference, not a complete colour standard. The scholarly overview and Sun Museum’s exhibition account provide complementary descriptions; the latter uses “blue” in its English presentation. </w:t>
      </w:r>
      <w:r>
        <w:rPr>
          <w:rFonts w:ascii="Inter" w:hAnsi="Inter" w:eastAsia="Noto Sans CJK JP"/>
          <w:color w:val="146C70"/>
        </w:rPr>
        <w:t>[</w:t>
      </w:r>
      <w:hyperlink w:anchor="ref28">
        <w:r>
          <w:rPr>
            <w:rFonts w:ascii="Inter" w:hAnsi="Inter" w:eastAsia="Noto Sans CJK JP"/>
            <w:color w:val="146C70"/>
            <w:sz w:val="21"/>
            <w:u w:val="single"/>
          </w:rPr>
          <w:t>28</w:t>
        </w:r>
      </w:hyperlink>
      <w:r>
        <w:rPr>
          <w:rFonts w:ascii="Inter" w:hAnsi="Inter" w:eastAsia="Noto Sans CJK JP"/>
          <w:color w:val="146C70"/>
        </w:rPr>
        <w:t xml:space="preserve">, </w:t>
      </w:r>
      <w:hyperlink w:anchor="ref29">
        <w:r>
          <w:rPr>
            <w:rFonts w:ascii="Inter" w:hAnsi="Inter" w:eastAsia="Noto Sans CJK JP"/>
            <w:color w:val="146C70"/>
            <w:sz w:val="21"/>
            <w:u w:val="single"/>
          </w:rPr>
          <w:t>29</w:t>
        </w:r>
      </w:hyperlink>
      <w:r>
        <w:rPr>
          <w:rFonts w:ascii="Inter" w:hAnsi="Inter" w:eastAsia="Noto Sans CJK JP"/>
          <w:color w:val="146C70"/>
        </w:rPr>
        <w:t>]</w:t>
      </w:r>
    </w:p>
    <w:p>
      <w:pPr>
        <w:pStyle w:val="Heading2"/>
      </w:pPr>
      <w:r>
        <w:rPr>
          <w:rFonts w:ascii="Inter" w:hAnsi="Inter" w:eastAsia="Noto Sans CJK JP"/>
        </w:rPr>
        <w:t>Relationships without false physics</w:t>
      </w:r>
    </w:p>
    <w:p>
      <w:r>
        <w:rPr>
          <w:rFonts w:ascii="Inter" w:hAnsi="Inter" w:eastAsia="Noto Sans CJK JP"/>
        </w:rPr>
        <w:t xml:space="preserve">The generating cycle is </w:t>
      </w:r>
      <w:r>
        <w:rPr>
          <w:rFonts w:ascii="Inter" w:hAnsi="Inter" w:eastAsia="Noto Sans CJK JP"/>
          <w:b/>
        </w:rPr>
        <w:t>wood → fire → earth → metal → water → wood</w:t>
      </w:r>
      <w:r>
        <w:rPr>
          <w:rFonts w:ascii="Inter" w:hAnsi="Inter" w:eastAsia="Noto Sans CJK JP"/>
        </w:rPr>
        <w:t xml:space="preserve">. The controlling cycle is </w:t>
      </w:r>
      <w:r>
        <w:rPr>
          <w:rFonts w:ascii="Inter" w:hAnsi="Inter" w:eastAsia="Noto Sans CJK JP"/>
          <w:b/>
        </w:rPr>
        <w:t>wood → earth → water → fire → metal → wood</w:t>
      </w:r>
      <w:r>
        <w:rPr>
          <w:rFonts w:ascii="Inter" w:hAnsi="Inter" w:eastAsia="Noto Sans CJK JP"/>
        </w:rPr>
        <w:t xml:space="preserve">. Store these as symbolic relationships, not physical mixing rules or predictions of preference. </w:t>
      </w:r>
      <w:r>
        <w:rPr>
          <w:rFonts w:ascii="Inter" w:hAnsi="Inter" w:eastAsia="Noto Sans CJK JP"/>
          <w:color w:val="146C70"/>
        </w:rPr>
        <w:t>[</w:t>
      </w:r>
      <w:hyperlink w:anchor="ref28">
        <w:r>
          <w:rPr>
            <w:rFonts w:ascii="Inter" w:hAnsi="Inter" w:eastAsia="Noto Sans CJK JP"/>
            <w:color w:val="146C70"/>
            <w:sz w:val="21"/>
            <w:u w:val="single"/>
          </w:rPr>
          <w:t>28</w:t>
        </w:r>
      </w:hyperlink>
      <w:r>
        <w:rPr>
          <w:rFonts w:ascii="Inter" w:hAnsi="Inter" w:eastAsia="Noto Sans CJK JP"/>
          <w:color w:val="146C70"/>
        </w:rPr>
        <w:t>]</w:t>
      </w:r>
    </w:p>
    <w:p>
      <w:r>
        <w:rPr>
          <w:rFonts w:ascii="Inter" w:hAnsi="Inter" w:eastAsia="Noto Sans CJK JP"/>
        </w:rPr>
        <w:t>Where documented, attach seasons, directions and uses to the relevant source-specific association. A generator that adapts these relationships into palettes must identify the adaptation rather than present it as a historical rule.</w:t>
      </w:r>
    </w:p>
    <w:p>
      <w:pPr>
        <w:pStyle w:val="Heading2"/>
      </w:pPr>
      <w:r>
        <w:rPr>
          <w:rFonts w:ascii="Inter" w:hAnsi="Inter" w:eastAsia="Noto Sans CJK JP"/>
        </w:rPr>
        <w:t>A broader Chinese research programme</w:t>
      </w:r>
    </w:p>
    <w:p>
      <w:r>
        <w:rPr>
          <w:rFonts w:ascii="Inter" w:hAnsi="Inter" w:eastAsia="Noto Sans CJK JP"/>
        </w:rPr>
        <w:t>Include traditional names, scripts and translations; pigment and dye references; textile, ceramic, painting and architectural object records; period and regional context; and contemporary interpretations. Candidate subjects include cinnabar, ochre, jade-related terminology, yellow in courtly settings, and ink black. These are research topics—not prevalidated swatches or claims that a term has one meaning across all periods.</w:t>
      </w:r>
    </w:p>
    <w:p>
      <w:r>
        <w:rPr>
          <w:rFonts w:ascii="Inter" w:hAnsi="Inter" w:eastAsia="Noto Sans CJK JP"/>
        </w:rPr>
        <w:t xml:space="preserve">Conservation collections such as the Getty’s Mogao work are possible evidence routes for object-linked records. The app must distinguish an object’s present appearance, a photograph and a proposed historical reconstruction. </w:t>
      </w:r>
      <w:r>
        <w:rPr>
          <w:rFonts w:ascii="Inter" w:hAnsi="Inter" w:eastAsia="Noto Sans CJK JP"/>
          <w:color w:val="146C70"/>
        </w:rPr>
        <w:t>[</w:t>
      </w:r>
      <w:hyperlink w:anchor="ref30">
        <w:r>
          <w:rPr>
            <w:rFonts w:ascii="Inter" w:hAnsi="Inter" w:eastAsia="Noto Sans CJK JP"/>
            <w:color w:val="146C70"/>
            <w:sz w:val="21"/>
            <w:u w:val="single"/>
          </w:rPr>
          <w:t>30</w:t>
        </w:r>
      </w:hyperlink>
      <w:r>
        <w:rPr>
          <w:rFonts w:ascii="Inter" w:hAnsi="Inter" w:eastAsia="Noto Sans CJK JP"/>
          <w:color w:val="146C70"/>
        </w:rPr>
        <w:t>]</w:t>
      </w:r>
    </w:p>
    <w:p>
      <w:pPr>
        <w:spacing w:before="140" w:after="160"/>
        <w:ind w:left="187" w:right="144"/>
        <w:shd w:fill="EFF5F5"/>
        <w:pBdr>
          <w:left w:val="single" w:sz="18" w:color="146C70" w:space="7"/>
        </w:pBdr>
      </w:pPr>
      <w:r>
        <w:rPr>
          <w:rFonts w:ascii="Inter" w:hAnsi="Inter" w:eastAsia="Noto Sans CJK JP"/>
          <w:b/>
        </w:rPr>
        <w:t>Initial scope</w:t>
      </w:r>
      <w:r>
        <w:rPr>
          <w:rFonts w:ascii="Inter" w:hAnsi="Inter" w:eastAsia="Noto Sans CJK JP"/>
        </w:rPr>
        <w:t xml:space="preserve">  Include both a sourced Wuxing learning view and a curated Chinese dictionary sample. No authoritative, comprehensive digital dataset has been selected for ingestion in this version.</w:t>
      </w:r>
    </w:p>
    <w:p>
      <w:r>
        <w:br w:type="page"/>
      </w:r>
    </w:p>
    <w:p>
      <w:pPr>
        <w:spacing w:after="120"/>
      </w:pPr>
      <w:r>
        <w:rPr>
          <w:rFonts w:ascii="Inter" w:hAnsi="Inter" w:eastAsia="Noto Sans CJK JP"/>
          <w:b/>
          <w:color w:val="146C70"/>
          <w:sz w:val="17"/>
        </w:rPr>
        <w:t>C / DICTIONARY AND KNOWLEDGE MODEL</w:t>
      </w:r>
    </w:p>
    <w:p>
      <w:bookmarkStart w:id="12" w:name="sec12"/>
      <w:pPr>
        <w:pStyle w:val="Heading1"/>
      </w:pPr>
      <w:r>
        <w:rPr>
          <w:rFonts w:ascii="Inter" w:hAnsi="Inter" w:eastAsia="Noto Sans CJK JP"/>
        </w:rPr>
        <w:t>10. The colour dictionary is a graph</w:t>
      </w:r>
      <w:bookmarkEnd w:id="12"/>
    </w:p>
    <w:p>
      <w:pPr>
        <w:spacing w:after="200"/>
      </w:pPr>
      <w:r>
        <w:rPr>
          <w:rFonts w:ascii="Inter" w:hAnsi="Inter" w:eastAsia="Noto Sans CJK JP"/>
          <w:color w:val="53626E"/>
          <w:sz w:val="21"/>
        </w:rPr>
        <w:t>Separate words, physical samples, digital appearances and cultural relationships.</w:t>
      </w:r>
    </w:p>
    <w:p>
      <w:r>
        <w:rPr>
          <w:rFonts w:ascii="Inter" w:hAnsi="Inter" w:eastAsia="Noto Sans CJK JP"/>
        </w:rPr>
        <w:t>One name may describe different appearances in different sources; multiple names may refer to related appearances. A dictionary should therefore use linked records rather than a single “name → hex” table. This is a proposed data architecture that keeps disagreement and uncertainty visible.</w:t>
      </w:r>
    </w:p>
    <w:tbl>
      <w:tblPr>
        <w:tblW w:type="auto" w:w="0"/>
        <w:jc w:val="center"/>
        <w:tblLayout w:type="fixed"/>
        <w:tblLook w:firstColumn="1" w:firstRow="1" w:lastColumn="0" w:lastRow="0" w:noHBand="0" w:noVBand="1" w:val="04A0"/>
      </w:tblPr>
      <w:tblGrid>
        <w:gridCol w:w="2059"/>
        <w:gridCol w:w="7773"/>
      </w:tblGrid>
      <w:tr>
        <w:trPr>
          <w:tblHeader w:val="true"/>
        </w:trPr>
        <w:tc>
          <w:tcPr>
            <w:tcW w:type="dxa" w:w="2059"/>
            <w:shd w:fill="173146"/>
            <w:tcMar>
              <w:top w:w="95" w:type="dxa"/>
              <w:start w:w="105" w:type="dxa"/>
              <w:bottom w:w="95" w:type="dxa"/>
              <w:end w:w="105" w:type="dxa"/>
            </w:tcMar>
          </w:tcPr>
          <w:p>
            <w:pPr>
              <w:widowControl w:val="0"/>
              <w:spacing w:after="0"/>
            </w:pPr>
            <w:r>
              <w:rPr>
                <w:rFonts w:ascii="Inter" w:hAnsi="Inter" w:eastAsia="Noto Sans CJK JP"/>
                <w:b/>
                <w:color w:val="FFFFFF"/>
                <w:sz w:val="18"/>
              </w:rPr>
              <w:t>Entity</w:t>
            </w:r>
          </w:p>
        </w:tc>
        <w:tc>
          <w:tcPr>
            <w:tcW w:type="dxa" w:w="7773"/>
            <w:shd w:fill="173146"/>
            <w:tcMar>
              <w:top w:w="95" w:type="dxa"/>
              <w:start w:w="105" w:type="dxa"/>
              <w:bottom w:w="95" w:type="dxa"/>
              <w:end w:w="105" w:type="dxa"/>
            </w:tcMar>
          </w:tcPr>
          <w:p>
            <w:pPr>
              <w:widowControl w:val="0"/>
              <w:spacing w:after="0"/>
            </w:pPr>
            <w:r>
              <w:rPr>
                <w:rFonts w:ascii="Inter" w:hAnsi="Inter" w:eastAsia="Noto Sans CJK JP"/>
                <w:b/>
                <w:color w:val="FFFFFF"/>
                <w:sz w:val="18"/>
              </w:rPr>
              <w:t>Minimum information</w:t>
            </w:r>
          </w:p>
        </w:tc>
      </w:tr>
      <w:tr>
        <w:trPr>
          <w:cantSplit/>
        </w:trPr>
        <w:tc>
          <w:tcPr>
            <w:tcW w:type="dxa" w:w="205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Colour concept</w:t>
            </w:r>
          </w:p>
        </w:tc>
        <w:tc>
          <w:tcPr>
            <w:tcW w:type="dxa" w:w="777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Stable ID, preferred label, description, scope and links to related concepts.</w:t>
            </w:r>
          </w:p>
        </w:tc>
      </w:tr>
      <w:tr>
        <w:trPr>
          <w:cantSplit/>
        </w:trPr>
        <w:tc>
          <w:tcPr>
            <w:tcW w:type="dxa" w:w="2059"/>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Name / translation</w:t>
            </w:r>
          </w:p>
        </w:tc>
        <w:tc>
          <w:tcPr>
            <w:tcW w:type="dxa" w:w="777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Original script, language, transliteration system, aliases, source and translation notes.</w:t>
            </w:r>
          </w:p>
        </w:tc>
      </w:tr>
      <w:tr>
        <w:trPr>
          <w:cantSplit/>
        </w:trPr>
        <w:tc>
          <w:tcPr>
            <w:tcW w:type="dxa" w:w="205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Representation</w:t>
            </w:r>
          </w:p>
        </w:tc>
        <w:tc>
          <w:tcPr>
            <w:tcW w:type="dxa" w:w="777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Space, coordinates or spectrum, reference white where relevant, profile, conditions, method and approximation status.</w:t>
            </w:r>
          </w:p>
        </w:tc>
      </w:tr>
      <w:tr>
        <w:trPr>
          <w:cantSplit/>
        </w:trPr>
        <w:tc>
          <w:tcPr>
            <w:tcW w:type="dxa" w:w="2059"/>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Material / sample</w:t>
            </w:r>
          </w:p>
        </w:tc>
        <w:tc>
          <w:tcPr>
            <w:tcW w:type="dxa" w:w="777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Substrate, dye/pigment or process where known, sample identity, measurement metadata and images if permitted.</w:t>
            </w:r>
          </w:p>
        </w:tc>
      </w:tr>
      <w:tr>
        <w:trPr>
          <w:cantSplit/>
        </w:trPr>
        <w:tc>
          <w:tcPr>
            <w:tcW w:type="dxa" w:w="205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Combination</w:t>
            </w:r>
          </w:p>
        </w:tc>
        <w:tc>
          <w:tcPr>
            <w:tcW w:type="dxa" w:w="777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Ordered colours/layers, roles, proportions if documented, relationship type and intended context.</w:t>
            </w:r>
          </w:p>
        </w:tc>
      </w:tr>
      <w:tr>
        <w:trPr>
          <w:cantSplit/>
        </w:trPr>
        <w:tc>
          <w:tcPr>
            <w:tcW w:type="dxa" w:w="2059"/>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Cultural assertion</w:t>
            </w:r>
          </w:p>
        </w:tc>
        <w:tc>
          <w:tcPr>
            <w:tcW w:type="dxa" w:w="777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Claim, community/period/context, source passage, contributor and review state.</w:t>
            </w:r>
          </w:p>
        </w:tc>
      </w:tr>
      <w:tr>
        <w:trPr>
          <w:cantSplit/>
        </w:trPr>
        <w:tc>
          <w:tcPr>
            <w:tcW w:type="dxa" w:w="205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Source / edition</w:t>
            </w:r>
          </w:p>
        </w:tc>
        <w:tc>
          <w:tcPr>
            <w:tcW w:type="dxa" w:w="777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Author/institution, title, date, edition, locator, URL or archive ID, access date and rights metadata.</w:t>
            </w:r>
          </w:p>
        </w:tc>
      </w:tr>
      <w:tr>
        <w:trPr>
          <w:cantSplit/>
        </w:trPr>
        <w:tc>
          <w:tcPr>
            <w:tcW w:type="dxa" w:w="2059"/>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Relationship</w:t>
            </w:r>
          </w:p>
        </w:tc>
        <w:tc>
          <w:tcPr>
            <w:tcW w:type="dxa" w:w="777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Named edge such as translation-of, measured-from, lining-of, variant-of or adaptation-of; include evidence.</w:t>
            </w:r>
          </w:p>
        </w:tc>
      </w:tr>
    </w:tbl>
    <w:p>
      <w:pPr>
        <w:spacing w:after="0"/>
      </w:pPr>
    </w:p>
    <w:p>
      <w:pPr>
        <w:pStyle w:val="Heading2"/>
      </w:pPr>
      <w:r>
        <w:rPr>
          <w:rFonts w:ascii="Inter" w:hAnsi="Inter" w:eastAsia="Noto Sans CJK JP"/>
        </w:rPr>
        <w:t>Confidence is not one number</w:t>
      </w:r>
    </w:p>
    <w:p>
      <w:r>
        <w:rPr>
          <w:rFonts w:ascii="Inter" w:hAnsi="Inter" w:eastAsia="Noto Sans CJK JP"/>
        </w:rPr>
        <w:t>Track transcription confidence, translation confidence, historical attribution, measurement precision and display approximation separately. A perfectly transcribed name can still have an uncertain physical interpretation. An exact RGB value can still be only one modern approximation.</w:t>
      </w:r>
    </w:p>
    <w:p>
      <w:pPr>
        <w:pStyle w:val="Heading2"/>
      </w:pPr>
      <w:r>
        <w:rPr>
          <w:rFonts w:ascii="Inter" w:hAnsi="Inter" w:eastAsia="Noto Sans CJK JP"/>
        </w:rPr>
        <w:t>Search and discovery</w:t>
      </w:r>
    </w:p>
    <w:p>
      <w:r>
        <w:rPr>
          <w:rFonts w:ascii="Inter" w:hAnsi="Inter" w:eastAsia="Noto Sans CJK JP"/>
        </w:rPr>
        <w:t>Support original scripts, transliteration, English names, material, source, period, season and region. Perceptual search is a separate operation: “near this displayed colour” must not silently mean “culturally equivalent”. Results should explain which relation caused the match.</w:t>
      </w:r>
    </w:p>
    <w:p>
      <w:pPr>
        <w:spacing w:before="140" w:after="160"/>
        <w:ind w:left="187" w:right="144"/>
        <w:shd w:fill="EFF5F5"/>
        <w:pBdr>
          <w:left w:val="single" w:sz="18" w:color="146C70" w:space="7"/>
        </w:pBdr>
      </w:pPr>
      <w:r>
        <w:rPr>
          <w:rFonts w:ascii="Inter" w:hAnsi="Inter" w:eastAsia="Noto Sans CJK JP"/>
          <w:b/>
        </w:rPr>
        <w:t>Required colour page</w:t>
      </w:r>
      <w:r>
        <w:rPr>
          <w:rFonts w:ascii="Inter" w:hAnsi="Inter" w:eastAsia="Noto Sans CJK JP"/>
        </w:rPr>
        <w:t xml:space="preserve">  Show the name and its evidence first, then alternative representations, related records, material/context notes and usable combinations. Unknown fields should read “not documented”, not be filled by inference.</w:t>
      </w:r>
    </w:p>
    <w:p>
      <w:r>
        <w:br w:type="page"/>
      </w:r>
    </w:p>
    <w:p>
      <w:pPr>
        <w:spacing w:after="120"/>
      </w:pPr>
      <w:r>
        <w:rPr>
          <w:rFonts w:ascii="Inter" w:hAnsi="Inter" w:eastAsia="Noto Sans CJK JP"/>
          <w:b/>
          <w:color w:val="146C70"/>
          <w:sz w:val="17"/>
        </w:rPr>
        <w:t>C / EVIDENCE AND DATASET GOVERNANCE</w:t>
      </w:r>
    </w:p>
    <w:p>
      <w:bookmarkStart w:id="13" w:name="sec13"/>
      <w:pPr>
        <w:pStyle w:val="Heading1"/>
      </w:pPr>
      <w:r>
        <w:rPr>
          <w:rFonts w:ascii="Inter" w:hAnsi="Inter" w:eastAsia="Noto Sans CJK JP"/>
        </w:rPr>
        <w:t>11. Sources, rights and cultural expansion</w:t>
      </w:r>
      <w:bookmarkEnd w:id="13"/>
    </w:p>
    <w:p>
      <w:pPr>
        <w:spacing w:after="200"/>
      </w:pPr>
      <w:r>
        <w:rPr>
          <w:rFonts w:ascii="Inter" w:hAnsi="Inter" w:eastAsia="Noto Sans CJK JP"/>
          <w:color w:val="53626E"/>
          <w:sz w:val="21"/>
        </w:rPr>
        <w:t>A broad library is valuable only when users can tell where its knowledge comes from.</w:t>
      </w:r>
    </w:p>
    <w:p>
      <w:pPr>
        <w:pStyle w:val="Heading2"/>
      </w:pPr>
      <w:r>
        <w:rPr>
          <w:rFonts w:ascii="Inter" w:hAnsi="Inter" w:eastAsia="Noto Sans CJK JP"/>
        </w:rPr>
        <w:t>Acquisition and review workflow</w:t>
      </w:r>
    </w:p>
    <w:p>
      <w:r>
        <w:rPr>
          <w:rFonts w:ascii="Inter" w:hAnsi="Inter" w:eastAsia="Noto Sans CJK JP"/>
        </w:rPr>
        <w:t>Identify a publication, institution, collection or practitioner source. Record its scope and rights position. Extract a small sample with page/object locators. Review transcription, interpretation and digital representation separately. Publish only after the rights and evidence checks pass; keep a reversible change history.</w:t>
      </w:r>
    </w:p>
    <w:tbl>
      <w:tblPr>
        <w:tblW w:type="auto" w:w="0"/>
        <w:jc w:val="center"/>
        <w:tblLayout w:type="fixed"/>
        <w:tblLook w:firstColumn="1" w:firstRow="1" w:lastColumn="0" w:lastRow="0" w:noHBand="0" w:noVBand="1" w:val="04A0"/>
      </w:tblPr>
      <w:tblGrid>
        <w:gridCol w:w="2448"/>
        <w:gridCol w:w="7384"/>
      </w:tblGrid>
      <w:tr>
        <w:trPr>
          <w:tblHeader w:val="true"/>
        </w:trPr>
        <w:tc>
          <w:tcPr>
            <w:tcW w:type="dxa" w:w="2448"/>
            <w:shd w:fill="173146"/>
            <w:tcMar>
              <w:top w:w="95" w:type="dxa"/>
              <w:start w:w="105" w:type="dxa"/>
              <w:bottom w:w="95" w:type="dxa"/>
              <w:end w:w="105" w:type="dxa"/>
            </w:tcMar>
          </w:tcPr>
          <w:p>
            <w:pPr>
              <w:widowControl w:val="0"/>
              <w:spacing w:after="0"/>
            </w:pPr>
            <w:r>
              <w:rPr>
                <w:rFonts w:ascii="Inter" w:hAnsi="Inter" w:eastAsia="Noto Sans CJK JP"/>
                <w:b/>
                <w:color w:val="FFFFFF"/>
                <w:sz w:val="18"/>
              </w:rPr>
              <w:t>Status</w:t>
            </w:r>
          </w:p>
        </w:tc>
        <w:tc>
          <w:tcPr>
            <w:tcW w:type="dxa" w:w="7384"/>
            <w:shd w:fill="173146"/>
            <w:tcMar>
              <w:top w:w="95" w:type="dxa"/>
              <w:start w:w="105" w:type="dxa"/>
              <w:bottom w:w="95" w:type="dxa"/>
              <w:end w:w="105" w:type="dxa"/>
            </w:tcMar>
          </w:tcPr>
          <w:p>
            <w:pPr>
              <w:widowControl w:val="0"/>
              <w:spacing w:after="0"/>
            </w:pPr>
            <w:r>
              <w:rPr>
                <w:rFonts w:ascii="Inter" w:hAnsi="Inter" w:eastAsia="Noto Sans CJK JP"/>
                <w:b/>
                <w:color w:val="FFFFFF"/>
                <w:sz w:val="18"/>
              </w:rPr>
              <w:t>Permitted product treatment</w:t>
            </w:r>
          </w:p>
        </w:tc>
      </w:tr>
      <w:tr>
        <w:trPr>
          <w:cantSplit/>
        </w:trPr>
        <w:tc>
          <w:tcPr>
            <w:tcW w:type="dxa" w:w="2448"/>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Verified; reusable</w:t>
            </w:r>
          </w:p>
        </w:tc>
        <w:tc>
          <w:tcPr>
            <w:tcW w:type="dxa" w:w="7384"/>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Publish the licensed or otherwise authorised content within the documented permission scope.</w:t>
            </w:r>
          </w:p>
        </w:tc>
      </w:tr>
      <w:tr>
        <w:trPr>
          <w:cantSplit/>
        </w:trPr>
        <w:tc>
          <w:tcPr>
            <w:tcW w:type="dxa" w:w="2448"/>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Verified; restricted</w:t>
            </w:r>
          </w:p>
        </w:tc>
        <w:tc>
          <w:tcPr>
            <w:tcW w:type="dxa" w:w="7384"/>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Publish permitted bibliographic metadata or commentary; do not reproduce protected pages, images or complete combinations.</w:t>
            </w:r>
          </w:p>
        </w:tc>
      </w:tr>
      <w:tr>
        <w:trPr>
          <w:cantSplit/>
        </w:trPr>
        <w:tc>
          <w:tcPr>
            <w:tcW w:type="dxa" w:w="2448"/>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Approximate representation</w:t>
            </w:r>
          </w:p>
        </w:tc>
        <w:tc>
          <w:tcPr>
            <w:tcW w:type="dxa" w:w="7384"/>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Display with a clear approximation label and the origin of the conversion.</w:t>
            </w:r>
          </w:p>
        </w:tc>
      </w:tr>
      <w:tr>
        <w:trPr>
          <w:cantSplit/>
        </w:trPr>
        <w:tc>
          <w:tcPr>
            <w:tcW w:type="dxa" w:w="2448"/>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Unreviewed / disputed</w:t>
            </w:r>
          </w:p>
        </w:tc>
        <w:tc>
          <w:tcPr>
            <w:tcW w:type="dxa" w:w="7384"/>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Keep in a research queue or expose competing interpretations explicitly; do not badge as verified.</w:t>
            </w:r>
          </w:p>
        </w:tc>
      </w:tr>
      <w:tr>
        <w:trPr>
          <w:cantSplit/>
        </w:trPr>
        <w:tc>
          <w:tcPr>
            <w:tcW w:type="dxa" w:w="2448"/>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User-created adaptation</w:t>
            </w:r>
          </w:p>
        </w:tc>
        <w:tc>
          <w:tcPr>
            <w:tcW w:type="dxa" w:w="7384"/>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Attribute to its creator, retain source links and separate it from the historical source.</w:t>
            </w:r>
          </w:p>
        </w:tc>
      </w:tr>
    </w:tbl>
    <w:p>
      <w:pPr>
        <w:spacing w:after="0"/>
      </w:pPr>
    </w:p>
    <w:p>
      <w:r>
        <w:rPr>
          <w:rFonts w:ascii="Inter" w:hAnsi="Inter" w:eastAsia="Noto Sans CJK JP"/>
        </w:rPr>
        <w:t xml:space="preserve">Seigensha explicitly publishes permissions guidance for its materials. The Albers Foundation also restricts reuse of its content. Licensing review is therefore a release requirement, not something that can be inferred from the ability to view a page online. This document is not a legal determination of any collection’s reuse status. </w:t>
      </w:r>
      <w:r>
        <w:rPr>
          <w:rFonts w:ascii="Inter" w:hAnsi="Inter" w:eastAsia="Noto Sans CJK JP"/>
          <w:color w:val="146C70"/>
        </w:rPr>
        <w:t>[</w:t>
      </w:r>
      <w:hyperlink w:anchor="ref20">
        <w:r>
          <w:rPr>
            <w:rFonts w:ascii="Inter" w:hAnsi="Inter" w:eastAsia="Noto Sans CJK JP"/>
            <w:color w:val="146C70"/>
            <w:sz w:val="21"/>
            <w:u w:val="single"/>
          </w:rPr>
          <w:t>20</w:t>
        </w:r>
      </w:hyperlink>
      <w:r>
        <w:rPr>
          <w:rFonts w:ascii="Inter" w:hAnsi="Inter" w:eastAsia="Noto Sans CJK JP"/>
          <w:color w:val="146C70"/>
        </w:rPr>
        <w:t xml:space="preserve">, </w:t>
      </w:r>
      <w:hyperlink w:anchor="ref27">
        <w:r>
          <w:rPr>
            <w:rFonts w:ascii="Inter" w:hAnsi="Inter" w:eastAsia="Noto Sans CJK JP"/>
            <w:color w:val="146C70"/>
            <w:sz w:val="21"/>
            <w:u w:val="single"/>
          </w:rPr>
          <w:t>27</w:t>
        </w:r>
      </w:hyperlink>
      <w:r>
        <w:rPr>
          <w:rFonts w:ascii="Inter" w:hAnsi="Inter" w:eastAsia="Noto Sans CJK JP"/>
          <w:color w:val="146C70"/>
        </w:rPr>
        <w:t>]</w:t>
      </w:r>
    </w:p>
    <w:p>
      <w:pPr>
        <w:pStyle w:val="Heading2"/>
      </w:pPr>
      <w:r>
        <w:rPr>
          <w:rFonts w:ascii="Inter" w:hAnsi="Inter" w:eastAsia="Noto Sans CJK JP"/>
        </w:rPr>
        <w:t>Expansion beyond the initial traditions</w:t>
      </w:r>
    </w:p>
    <w:p>
      <w:r>
        <w:rPr>
          <w:rFonts w:ascii="Inter" w:hAnsi="Inter" w:eastAsia="Noto Sans CJK JP"/>
        </w:rPr>
        <w:t>Plan source-led modules for Indian textile and dye practices, Persian painting and material traditions, specific African regional or community textile traditions, and specific Mesoamerican pigment or textile contexts. These are research directions, not four homogeneous colour theories. Each module needs appropriate expertise, terminology, attribution and permission practices.</w:t>
      </w:r>
    </w:p>
    <w:p>
      <w:pPr>
        <w:pStyle w:val="Heading2"/>
      </w:pPr>
      <w:r>
        <w:rPr>
          <w:rFonts w:ascii="Inter" w:hAnsi="Inter" w:eastAsia="Noto Sans CJK JP"/>
        </w:rPr>
        <w:t>Governance decisions</w:t>
      </w:r>
    </w:p>
    <w:p>
      <w:r>
        <w:rPr>
          <w:rFonts w:ascii="Inter" w:hAnsi="Inter" w:eastAsia="Noto Sans CJK JP"/>
        </w:rPr>
        <w:t>Use named reviewers and correction channels. Preserve conflicting sources rather than silently choosing one interpretation. Do not publish culturally sensitive or restricted knowledge merely because it is discoverable. Avoid treating a national or continental label as sufficient provenance.</w:t>
      </w:r>
    </w:p>
    <w:p>
      <w:pPr>
        <w:spacing w:before="140" w:after="160"/>
        <w:ind w:left="187" w:right="144"/>
        <w:shd w:fill="EFF5F5"/>
        <w:pBdr>
          <w:left w:val="single" w:sz="18" w:color="146C70" w:space="7"/>
        </w:pBdr>
      </w:pPr>
      <w:r>
        <w:rPr>
          <w:rFonts w:ascii="Inter" w:hAnsi="Inter" w:eastAsia="Noto Sans CJK JP"/>
          <w:b/>
        </w:rPr>
        <w:t>Rights gate</w:t>
      </w:r>
      <w:r>
        <w:rPr>
          <w:rFonts w:ascii="Inter" w:hAnsi="Inter" w:eastAsia="Noto Sans CJK JP"/>
        </w:rPr>
        <w:t xml:space="preserve">  Permission must cover the actual use: app display, database extraction, images, downloadable palettes, commercial reuse and model training may have different conditions. Track each use separately.</w:t>
      </w:r>
    </w:p>
    <w:p>
      <w:r>
        <w:br w:type="page"/>
      </w:r>
    </w:p>
    <w:p>
      <w:pPr>
        <w:spacing w:after="120"/>
      </w:pPr>
      <w:r>
        <w:rPr>
          <w:rFonts w:ascii="Inter" w:hAnsi="Inter" w:eastAsia="Noto Sans CJK JP"/>
          <w:b/>
          <w:color w:val="146C70"/>
          <w:sz w:val="17"/>
        </w:rPr>
        <w:t>D / PALETTE ENGINE</w:t>
      </w:r>
    </w:p>
    <w:p>
      <w:bookmarkStart w:id="14" w:name="sec14"/>
      <w:pPr>
        <w:pStyle w:val="Heading1"/>
      </w:pPr>
      <w:r>
        <w:rPr>
          <w:rFonts w:ascii="Inter" w:hAnsi="Inter" w:eastAsia="Noto Sans CJK JP"/>
        </w:rPr>
        <w:t>12. Generating thousands of useful candidates</w:t>
      </w:r>
      <w:bookmarkEnd w:id="14"/>
    </w:p>
    <w:p>
      <w:pPr>
        <w:spacing w:after="200"/>
      </w:pPr>
      <w:r>
        <w:rPr>
          <w:rFonts w:ascii="Inter" w:hAnsi="Inter" w:eastAsia="Noto Sans CJK JP"/>
          <w:color w:val="53626E"/>
          <w:sz w:val="21"/>
        </w:rPr>
        <w:t>Scale exploration through controlled sampling and diversity, not indiscriminate randomness.</w:t>
      </w:r>
    </w:p>
    <w:p>
      <w:pPr>
        <w:pStyle w:val="Heading2"/>
      </w:pPr>
      <w:r>
        <w:rPr>
          <w:rFonts w:ascii="Inter" w:hAnsi="Inter" w:eastAsia="Noto Sans CJK JP"/>
        </w:rPr>
        <w:t>Inputs and generation modes</w:t>
      </w:r>
    </w:p>
    <w:p>
      <w:r>
        <w:rPr>
          <w:rFonts w:ascii="Inter" w:hAnsi="Inter" w:eastAsia="Noto Sans CJK JP"/>
        </w:rPr>
        <w:t>Start from named colours, source-approved combinations, a selected hue family, a user image, a garment brief or an existing palette. Support wheel rules, cultural-source constraints, free-form sampling, image-derived candidates and controlled mutation. Image extraction is a proposal to add; it must preserve input-profile and rights information.</w:t>
      </w:r>
    </w:p>
    <w:tbl>
      <w:tblPr>
        <w:tblW w:type="auto" w:w="0"/>
        <w:jc w:val="center"/>
        <w:tblLayout w:type="fixed"/>
        <w:tblLook w:firstColumn="1" w:firstRow="1" w:lastColumn="0" w:lastRow="0" w:noHBand="0" w:noVBand="1" w:val="04A0"/>
      </w:tblPr>
      <w:tblGrid>
        <w:gridCol w:w="2218"/>
        <w:gridCol w:w="7614"/>
      </w:tblGrid>
      <w:tr>
        <w:trPr>
          <w:tblHeader w:val="true"/>
        </w:trPr>
        <w:tc>
          <w:tcPr>
            <w:tcW w:type="dxa" w:w="2218"/>
            <w:shd w:fill="173146"/>
            <w:tcMar>
              <w:top w:w="95" w:type="dxa"/>
              <w:start w:w="105" w:type="dxa"/>
              <w:bottom w:w="95" w:type="dxa"/>
              <w:end w:w="105" w:type="dxa"/>
            </w:tcMar>
          </w:tcPr>
          <w:p>
            <w:pPr>
              <w:widowControl w:val="0"/>
              <w:spacing w:after="0"/>
            </w:pPr>
            <w:r>
              <w:rPr>
                <w:rFonts w:ascii="Inter" w:hAnsi="Inter" w:eastAsia="Noto Sans CJK JP"/>
                <w:b/>
                <w:color w:val="FFFFFF"/>
                <w:sz w:val="18"/>
              </w:rPr>
              <w:t>Control</w:t>
            </w:r>
          </w:p>
        </w:tc>
        <w:tc>
          <w:tcPr>
            <w:tcW w:type="dxa" w:w="7614"/>
            <w:shd w:fill="173146"/>
            <w:tcMar>
              <w:top w:w="95" w:type="dxa"/>
              <w:start w:w="105" w:type="dxa"/>
              <w:bottom w:w="95" w:type="dxa"/>
              <w:end w:w="105" w:type="dxa"/>
            </w:tcMar>
          </w:tcPr>
          <w:p>
            <w:pPr>
              <w:widowControl w:val="0"/>
              <w:spacing w:after="0"/>
            </w:pPr>
            <w:r>
              <w:rPr>
                <w:rFonts w:ascii="Inter" w:hAnsi="Inter" w:eastAsia="Noto Sans CJK JP"/>
                <w:b/>
                <w:color w:val="FFFFFF"/>
                <w:sz w:val="18"/>
              </w:rPr>
              <w:t>Required behaviour</w:t>
            </w:r>
          </w:p>
        </w:tc>
      </w:tr>
      <w:tr>
        <w:trPr>
          <w:cantSplit/>
        </w:trPr>
        <w:tc>
          <w:tcPr>
            <w:tcW w:type="dxa" w:w="2218"/>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Palette structure</w:t>
            </w:r>
          </w:p>
        </w:tc>
        <w:tc>
          <w:tcPr>
            <w:tcW w:type="dxa" w:w="7614"/>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Choose colour count, roles and locked entries; permit an explicit order for layers.</w:t>
            </w:r>
          </w:p>
        </w:tc>
      </w:tr>
      <w:tr>
        <w:trPr>
          <w:cantSplit/>
        </w:trPr>
        <w:tc>
          <w:tcPr>
            <w:tcW w:type="dxa" w:w="2218"/>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Colour dimensions</w:t>
            </w:r>
          </w:p>
        </w:tc>
        <w:tc>
          <w:tcPr>
            <w:tcW w:type="dxa" w:w="7614"/>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Bound hue, lightness and chroma in a declared working space; handle hue circularly.</w:t>
            </w:r>
          </w:p>
        </w:tc>
      </w:tr>
      <w:tr>
        <w:trPr>
          <w:cantSplit/>
        </w:trPr>
        <w:tc>
          <w:tcPr>
            <w:tcW w:type="dxa" w:w="2218"/>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Composition</w:t>
            </w:r>
          </w:p>
        </w:tc>
        <w:tc>
          <w:tcPr>
            <w:tcW w:type="dxa" w:w="7614"/>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Set target role proportions, neutral share and region assignment constraints.</w:t>
            </w:r>
          </w:p>
        </w:tc>
      </w:tr>
      <w:tr>
        <w:trPr>
          <w:cantSplit/>
        </w:trPr>
        <w:tc>
          <w:tcPr>
            <w:tcW w:type="dxa" w:w="2218"/>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Source filters</w:t>
            </w:r>
          </w:p>
        </w:tc>
        <w:tc>
          <w:tcPr>
            <w:tcW w:type="dxa" w:w="7614"/>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Restrict by tradition, period, source, material or rights status without inventing missing classifications.</w:t>
            </w:r>
          </w:p>
        </w:tc>
      </w:tr>
      <w:tr>
        <w:trPr>
          <w:cantSplit/>
        </w:trPr>
        <w:tc>
          <w:tcPr>
            <w:tcW w:type="dxa" w:w="2218"/>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Output conditions</w:t>
            </w:r>
          </w:p>
        </w:tc>
        <w:tc>
          <w:tcPr>
            <w:tcW w:type="dxa" w:w="7614"/>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Select target gamut, mapping policy and whether approximate matches are acceptable.</w:t>
            </w:r>
          </w:p>
        </w:tc>
      </w:tr>
      <w:tr>
        <w:trPr>
          <w:cantSplit/>
        </w:trPr>
        <w:tc>
          <w:tcPr>
            <w:tcW w:type="dxa" w:w="2218"/>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Exploration strategy</w:t>
            </w:r>
          </w:p>
        </w:tc>
        <w:tc>
          <w:tcPr>
            <w:tcW w:type="dxa" w:w="7614"/>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Select systematic sweeps, stratified sampling, nearby mutation or deliberately distant alternatives.</w:t>
            </w:r>
          </w:p>
        </w:tc>
      </w:tr>
    </w:tbl>
    <w:p>
      <w:pPr>
        <w:spacing w:after="0"/>
      </w:pPr>
    </w:p>
    <w:p>
      <w:pPr>
        <w:pStyle w:val="Heading2"/>
      </w:pPr>
      <w:r>
        <w:rPr>
          <w:rFonts w:ascii="Inter" w:hAnsi="Inter" w:eastAsia="Noto Sans CJK JP"/>
        </w:rPr>
        <w:t>Proposed generation pipeline</w:t>
      </w:r>
    </w:p>
    <w:p>
      <w:r>
        <w:rPr>
          <w:rFonts w:ascii="Inter" w:hAnsi="Inter" w:eastAsia="Noto Sans CJK JP"/>
        </w:rPr>
        <w:t>Validate constraints → draw seeded candidates → apply the selected source or design rules → convert and gamut-map → deduplicate → calculate features → select a diverse review set → render thumbnails on demand. Store rejected candidates and rejection reasons when needed for auditability.</w:t>
      </w:r>
    </w:p>
    <w:p>
      <w:pPr>
        <w:pStyle w:val="Heading2"/>
      </w:pPr>
      <w:r>
        <w:rPr>
          <w:rFonts w:ascii="Inter" w:hAnsi="Inter" w:eastAsia="Noto Sans CJK JP"/>
        </w:rPr>
        <w:t>Quality and cost controls</w:t>
      </w:r>
    </w:p>
    <w:p>
      <w:r>
        <w:rPr>
          <w:rFonts w:ascii="Inter" w:hAnsi="Inter" w:eastAsia="Noto Sans CJK JP"/>
        </w:rPr>
        <w:t>Record the random seed and generator version. Reject impossible combinations rather than silently relaxing locks. Distinguish exact duplicates from perceptually near-duplicate palettes and preserve role order when it matters. Use a deterministic candidate ID and cache derived features and previews.</w:t>
      </w:r>
    </w:p>
    <w:p>
      <w:pPr>
        <w:spacing w:before="140" w:after="160"/>
        <w:ind w:left="187" w:right="144"/>
        <w:shd w:fill="EFF5F5"/>
        <w:pBdr>
          <w:left w:val="single" w:sz="18" w:color="146C70" w:space="7"/>
        </w:pBdr>
      </w:pPr>
      <w:r>
        <w:rPr>
          <w:rFonts w:ascii="Inter" w:hAnsi="Inter" w:eastAsia="Noto Sans CJK JP"/>
          <w:b/>
        </w:rPr>
        <w:t>Scale distinction</w:t>
      </w:r>
      <w:r>
        <w:rPr>
          <w:rFonts w:ascii="Inter" w:hAnsi="Inter" w:eastAsia="Noto Sans CJK JP"/>
        </w:rPr>
        <w:t xml:space="preserve">  Generating 10,000 numeric palettes is not the same workload as rendering 10,000 high-quality garments. Use low-cost previews, progressive refinement and a cancellable job queue. Benchmark before setting performance promises.</w:t>
      </w:r>
    </w:p>
    <w:p>
      <w:pPr>
        <w:pStyle w:val="Heading2"/>
      </w:pPr>
      <w:r>
        <w:rPr>
          <w:rFonts w:ascii="Inter" w:hAnsi="Inter" w:eastAsia="Noto Sans CJK JP"/>
        </w:rPr>
        <w:t>No hidden score of correctness</w:t>
      </w:r>
    </w:p>
    <w:p>
      <w:r>
        <w:rPr>
          <w:rFonts w:ascii="Inter" w:hAnsi="Inter" w:eastAsia="Noto Sans CJK JP"/>
        </w:rPr>
        <w:t>A “diverse” batch means diversity under a declared selection method. A “source-inspired” batch means an adaptation. A “preferred” batch means a prediction for a specified user or brief—not an objective improvement.</w:t>
      </w:r>
    </w:p>
    <w:p>
      <w:r>
        <w:br w:type="page"/>
      </w:r>
    </w:p>
    <w:p>
      <w:pPr>
        <w:spacing w:after="120"/>
      </w:pPr>
      <w:r>
        <w:rPr>
          <w:rFonts w:ascii="Inter" w:hAnsi="Inter" w:eastAsia="Noto Sans CJK JP"/>
          <w:b/>
          <w:color w:val="146C70"/>
          <w:sz w:val="17"/>
        </w:rPr>
        <w:t>D / COLOUR ANALYSIS</w:t>
      </w:r>
    </w:p>
    <w:p>
      <w:bookmarkStart w:id="15" w:name="sec15"/>
      <w:pPr>
        <w:pStyle w:val="Heading1"/>
      </w:pPr>
      <w:r>
        <w:rPr>
          <w:rFonts w:ascii="Inter" w:hAnsi="Inter" w:eastAsia="Noto Sans CJK JP"/>
        </w:rPr>
        <w:t>13. Measurements and what they can explain</w:t>
      </w:r>
      <w:bookmarkEnd w:id="15"/>
    </w:p>
    <w:p>
      <w:pPr>
        <w:spacing w:after="200"/>
      </w:pPr>
      <w:r>
        <w:rPr>
          <w:rFonts w:ascii="Inter" w:hAnsi="Inter" w:eastAsia="Noto Sans CJK JP"/>
          <w:color w:val="53626E"/>
          <w:sz w:val="21"/>
        </w:rPr>
        <w:t>A measurement can describe a palette without establishing why someone likes it.</w:t>
      </w:r>
    </w:p>
    <w:tbl>
      <w:tblPr>
        <w:tblW w:type="auto" w:w="0"/>
        <w:jc w:val="center"/>
        <w:tblLayout w:type="fixed"/>
        <w:tblLook w:firstColumn="1" w:firstRow="1" w:lastColumn="0" w:lastRow="0" w:noHBand="0" w:noVBand="1" w:val="04A0"/>
      </w:tblPr>
      <w:tblGrid>
        <w:gridCol w:w="1958"/>
        <w:gridCol w:w="7873"/>
      </w:tblGrid>
      <w:tr>
        <w:trPr>
          <w:tblHeader w:val="true"/>
        </w:trPr>
        <w:tc>
          <w:tcPr>
            <w:tcW w:type="dxa" w:w="1958"/>
            <w:shd w:fill="173146"/>
            <w:tcMar>
              <w:top w:w="95" w:type="dxa"/>
              <w:start w:w="105" w:type="dxa"/>
              <w:bottom w:w="95" w:type="dxa"/>
              <w:end w:w="105" w:type="dxa"/>
            </w:tcMar>
          </w:tcPr>
          <w:p>
            <w:pPr>
              <w:widowControl w:val="0"/>
              <w:spacing w:after="0"/>
            </w:pPr>
            <w:r>
              <w:rPr>
                <w:rFonts w:ascii="Inter" w:hAnsi="Inter" w:eastAsia="Noto Sans CJK JP"/>
                <w:b/>
                <w:color w:val="FFFFFF"/>
                <w:sz w:val="18"/>
              </w:rPr>
              <w:t>Feature</w:t>
            </w:r>
          </w:p>
        </w:tc>
        <w:tc>
          <w:tcPr>
            <w:tcW w:type="dxa" w:w="7873"/>
            <w:shd w:fill="173146"/>
            <w:tcMar>
              <w:top w:w="95" w:type="dxa"/>
              <w:start w:w="105" w:type="dxa"/>
              <w:bottom w:w="95" w:type="dxa"/>
              <w:end w:w="105" w:type="dxa"/>
            </w:tcMar>
          </w:tcPr>
          <w:p>
            <w:pPr>
              <w:widowControl w:val="0"/>
              <w:spacing w:after="0"/>
            </w:pPr>
            <w:r>
              <w:rPr>
                <w:rFonts w:ascii="Inter" w:hAnsi="Inter" w:eastAsia="Noto Sans CJK JP"/>
                <w:b/>
                <w:color w:val="FFFFFF"/>
                <w:sz w:val="18"/>
              </w:rPr>
              <w:t>Definition / reporting requirement</w:t>
            </w:r>
          </w:p>
        </w:tc>
      </w:tr>
      <w:tr>
        <w:trPr>
          <w:cantSplit/>
        </w:trPr>
        <w:tc>
          <w:tcPr>
            <w:tcW w:type="dxa" w:w="1958"/>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Hue separation</w:t>
            </w:r>
          </w:p>
        </w:tc>
        <w:tc>
          <w:tcPr>
            <w:tcW w:type="dxa" w:w="787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Circular angular distance in a named space; ignore or qualify nearly neutral entries.</w:t>
            </w:r>
          </w:p>
        </w:tc>
      </w:tr>
      <w:tr>
        <w:trPr>
          <w:cantSplit/>
        </w:trPr>
        <w:tc>
          <w:tcPr>
            <w:tcW w:type="dxa" w:w="1958"/>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Lightness structure</w:t>
            </w:r>
          </w:p>
        </w:tc>
        <w:tc>
          <w:tcPr>
            <w:tcW w:type="dxa" w:w="787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Range, ordered steps and role-wise differences in a named lightness coordinate.</w:t>
            </w:r>
          </w:p>
        </w:tc>
      </w:tr>
      <w:tr>
        <w:trPr>
          <w:cantSplit/>
        </w:trPr>
        <w:tc>
          <w:tcPr>
            <w:tcW w:type="dxa" w:w="1958"/>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Chroma structure</w:t>
            </w:r>
          </w:p>
        </w:tc>
        <w:tc>
          <w:tcPr>
            <w:tcW w:type="dxa" w:w="787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Role-wise chroma, spread and neutral share under a disclosed near-neutral threshold.</w:t>
            </w:r>
          </w:p>
        </w:tc>
      </w:tr>
      <w:tr>
        <w:trPr>
          <w:cantSplit/>
        </w:trPr>
        <w:tc>
          <w:tcPr>
            <w:tcW w:type="dxa" w:w="1958"/>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Colour difference</w:t>
            </w:r>
          </w:p>
        </w:tc>
        <w:tc>
          <w:tcPr>
            <w:tcW w:type="dxa" w:w="787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 xml:space="preserve">Report the metric, its parameters and colour space. CIEDE2000 and Euclidean OKLab distance are not interchangeable. </w:t>
            </w:r>
            <w:r>
              <w:rPr>
                <w:rFonts w:ascii="Inter" w:hAnsi="Inter" w:eastAsia="Noto Sans CJK JP"/>
                <w:color w:val="146C70"/>
                <w:sz w:val="18"/>
              </w:rPr>
              <w:t>[</w:t>
            </w:r>
            <w:hyperlink w:anchor="ref10">
              <w:r>
                <w:rPr>
                  <w:rFonts w:ascii="Inter" w:hAnsi="Inter" w:eastAsia="Noto Sans CJK JP"/>
                  <w:color w:val="146C70"/>
                  <w:sz w:val="18"/>
                  <w:u w:val="single"/>
                </w:rPr>
                <w:t>10</w:t>
              </w:r>
            </w:hyperlink>
            <w:r>
              <w:rPr>
                <w:rFonts w:ascii="Inter" w:hAnsi="Inter" w:eastAsia="Noto Sans CJK JP"/>
                <w:color w:val="146C70"/>
                <w:sz w:val="18"/>
              </w:rPr>
              <w:t>]</w:t>
            </w:r>
          </w:p>
        </w:tc>
      </w:tr>
      <w:tr>
        <w:trPr>
          <w:cantSplit/>
        </w:trPr>
        <w:tc>
          <w:tcPr>
            <w:tcW w:type="dxa" w:w="1958"/>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Area and placement</w:t>
            </w:r>
          </w:p>
        </w:tc>
        <w:tc>
          <w:tcPr>
            <w:tcW w:type="dxa" w:w="787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Target role proportions plus actual visible region areas under the fixed garment view.</w:t>
            </w:r>
          </w:p>
        </w:tc>
      </w:tr>
      <w:tr>
        <w:trPr>
          <w:cantSplit/>
        </w:trPr>
        <w:tc>
          <w:tcPr>
            <w:tcW w:type="dxa" w:w="1958"/>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Gamut change</w:t>
            </w:r>
          </w:p>
        </w:tc>
        <w:tc>
          <w:tcPr>
            <w:tcW w:type="dxa" w:w="787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 xml:space="preserve">Flag out-of-gamut inputs, mapping method and difference between source and displayed colour. </w:t>
            </w:r>
            <w:r>
              <w:rPr>
                <w:rFonts w:ascii="Inter" w:hAnsi="Inter" w:eastAsia="Noto Sans CJK JP"/>
                <w:color w:val="146C70"/>
                <w:sz w:val="18"/>
              </w:rPr>
              <w:t>[</w:t>
            </w:r>
            <w:hyperlink w:anchor="ref9">
              <w:r>
                <w:rPr>
                  <w:rFonts w:ascii="Inter" w:hAnsi="Inter" w:eastAsia="Noto Sans CJK JP"/>
                  <w:color w:val="146C70"/>
                  <w:sz w:val="18"/>
                  <w:u w:val="single"/>
                </w:rPr>
                <w:t>9</w:t>
              </w:r>
            </w:hyperlink>
            <w:r>
              <w:rPr>
                <w:rFonts w:ascii="Inter" w:hAnsi="Inter" w:eastAsia="Noto Sans CJK JP"/>
                <w:color w:val="146C70"/>
                <w:sz w:val="18"/>
              </w:rPr>
              <w:t>]</w:t>
            </w:r>
          </w:p>
        </w:tc>
      </w:tr>
      <w:tr>
        <w:trPr>
          <w:cantSplit/>
        </w:trPr>
        <w:tc>
          <w:tcPr>
            <w:tcW w:type="dxa" w:w="1958"/>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UI contrast</w:t>
            </w:r>
          </w:p>
        </w:tc>
        <w:tc>
          <w:tcPr>
            <w:tcW w:type="dxa" w:w="787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 xml:space="preserve">Calculate contrast for labels, controls and informational marks—not as a beauty score for clothing. </w:t>
            </w:r>
            <w:r>
              <w:rPr>
                <w:rFonts w:ascii="Inter" w:hAnsi="Inter" w:eastAsia="Noto Sans CJK JP"/>
                <w:color w:val="146C70"/>
                <w:sz w:val="18"/>
              </w:rPr>
              <w:t>[</w:t>
            </w:r>
            <w:hyperlink w:anchor="ref15">
              <w:r>
                <w:rPr>
                  <w:rFonts w:ascii="Inter" w:hAnsi="Inter" w:eastAsia="Noto Sans CJK JP"/>
                  <w:color w:val="146C70"/>
                  <w:sz w:val="18"/>
                  <w:u w:val="single"/>
                </w:rPr>
                <w:t>15</w:t>
              </w:r>
            </w:hyperlink>
            <w:r>
              <w:rPr>
                <w:rFonts w:ascii="Inter" w:hAnsi="Inter" w:eastAsia="Noto Sans CJK JP"/>
                <w:color w:val="146C70"/>
                <w:sz w:val="18"/>
              </w:rPr>
              <w:t xml:space="preserve">, </w:t>
            </w:r>
            <w:hyperlink w:anchor="ref16">
              <w:r>
                <w:rPr>
                  <w:rFonts w:ascii="Inter" w:hAnsi="Inter" w:eastAsia="Noto Sans CJK JP"/>
                  <w:color w:val="146C70"/>
                  <w:sz w:val="18"/>
                  <w:u w:val="single"/>
                </w:rPr>
                <w:t>16</w:t>
              </w:r>
            </w:hyperlink>
            <w:r>
              <w:rPr>
                <w:rFonts w:ascii="Inter" w:hAnsi="Inter" w:eastAsia="Noto Sans CJK JP"/>
                <w:color w:val="146C70"/>
                <w:sz w:val="18"/>
              </w:rPr>
              <w:t>]</w:t>
            </w:r>
          </w:p>
        </w:tc>
      </w:tr>
      <w:tr>
        <w:trPr>
          <w:cantSplit/>
        </w:trPr>
        <w:tc>
          <w:tcPr>
            <w:tcW w:type="dxa" w:w="1958"/>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Context tags</w:t>
            </w:r>
          </w:p>
        </w:tc>
        <w:tc>
          <w:tcPr>
            <w:tcW w:type="dxa" w:w="787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Source-defined season, symbolism, material and tradition. These are metadata, not measured colour coordinates.</w:t>
            </w:r>
          </w:p>
        </w:tc>
      </w:tr>
    </w:tbl>
    <w:p>
      <w:pPr>
        <w:spacing w:after="0"/>
      </w:pPr>
    </w:p>
    <w:p>
      <w:pPr>
        <w:pStyle w:val="Heading2"/>
      </w:pPr>
      <w:r>
        <w:rPr>
          <w:rFonts w:ascii="Inter" w:hAnsi="Inter" w:eastAsia="Noto Sans CJK JP"/>
        </w:rPr>
        <w:t>Useful formulas for the implementation</w:t>
      </w:r>
    </w:p>
    <w:p>
      <w:r>
        <w:rPr>
          <w:rFonts w:ascii="Inter" w:hAnsi="Inter" w:eastAsia="Noto Sans CJK JP"/>
        </w:rPr>
        <w:t xml:space="preserve">For hue angles h₁ and h₂ in degrees, use the smaller circular separation: </w:t>
      </w:r>
      <w:r>
        <w:rPr>
          <w:rFonts w:ascii="Inter" w:hAnsi="Inter" w:eastAsia="Noto Sans CJK JP"/>
          <w:b/>
        </w:rPr>
        <w:t>dₕ = min(|h₁ − h₂|, 360 − |h₁ − h₂|)</w:t>
      </w:r>
      <w:r>
        <w:rPr>
          <w:rFonts w:ascii="Inter" w:hAnsi="Inter" w:eastAsia="Noto Sans CJK JP"/>
        </w:rPr>
        <w:t xml:space="preserve"> after normalising angles into one full turn. For visible region area, use </w:t>
      </w:r>
      <w:r>
        <w:rPr>
          <w:rFonts w:ascii="Inter" w:hAnsi="Inter" w:eastAsia="Noto Sans CJK JP"/>
          <w:b/>
        </w:rPr>
        <w:t>pᵢ = Aᵢ / ΣAⱼ</w:t>
      </w:r>
      <w:r>
        <w:rPr>
          <w:rFonts w:ascii="Inter" w:hAnsi="Inter" w:eastAsia="Noto Sans CJK JP"/>
        </w:rPr>
        <w:t>, excluding the background and respecting the chosen view. These are analysis conventions, not aesthetic laws.</w:t>
      </w:r>
    </w:p>
    <w:p>
      <w:pPr>
        <w:pStyle w:val="Heading2"/>
      </w:pPr>
      <w:r>
        <w:rPr>
          <w:rFonts w:ascii="Inter" w:hAnsi="Inter" w:eastAsia="Noto Sans CJK JP"/>
        </w:rPr>
        <w:t>Difference is not universal visibility</w:t>
      </w:r>
    </w:p>
    <w:p>
      <w:r>
        <w:rPr>
          <w:rFonts w:ascii="Inter" w:hAnsi="Inter" w:eastAsia="Noto Sans CJK JP"/>
        </w:rPr>
        <w:t xml:space="preserve">Do not label one fixed distance threshold as “indistinguishable everywhere”. The app must expose the metric and conditions, and validate task-specific thresholds. The colour-difference documentation itself distinguishes multiple methods with different behaviours. </w:t>
      </w:r>
      <w:r>
        <w:rPr>
          <w:rFonts w:ascii="Inter" w:hAnsi="Inter" w:eastAsia="Noto Sans CJK JP"/>
          <w:color w:val="146C70"/>
        </w:rPr>
        <w:t>[</w:t>
      </w:r>
      <w:hyperlink w:anchor="ref10">
        <w:r>
          <w:rPr>
            <w:rFonts w:ascii="Inter" w:hAnsi="Inter" w:eastAsia="Noto Sans CJK JP"/>
            <w:color w:val="146C70"/>
            <w:sz w:val="21"/>
            <w:u w:val="single"/>
          </w:rPr>
          <w:t>10</w:t>
        </w:r>
      </w:hyperlink>
      <w:r>
        <w:rPr>
          <w:rFonts w:ascii="Inter" w:hAnsi="Inter" w:eastAsia="Noto Sans CJK JP"/>
          <w:color w:val="146C70"/>
        </w:rPr>
        <w:t>]</w:t>
      </w:r>
    </w:p>
    <w:p>
      <w:pPr>
        <w:pStyle w:val="Heading2"/>
      </w:pPr>
      <w:r>
        <w:rPr>
          <w:rFonts w:ascii="Inter" w:hAnsi="Inter" w:eastAsia="Noto Sans CJK JP"/>
        </w:rPr>
        <w:t>Explanation structure</w:t>
      </w:r>
    </w:p>
    <w:p>
      <w:r>
        <w:rPr>
          <w:rFonts w:ascii="Inter" w:hAnsi="Inter" w:eastAsia="Noto Sans CJK JP"/>
        </w:rPr>
        <w:t xml:space="preserve">An explanation should have three labelled parts: </w:t>
      </w:r>
      <w:r>
        <w:rPr>
          <w:rFonts w:ascii="Inter" w:hAnsi="Inter" w:eastAsia="Noto Sans CJK JP"/>
          <w:b/>
        </w:rPr>
        <w:t>measured</w:t>
      </w:r>
      <w:r>
        <w:rPr>
          <w:rFonts w:ascii="Inter" w:hAnsi="Inter" w:eastAsia="Noto Sans CJK JP"/>
        </w:rPr>
        <w:t xml:space="preserve"> (“greater lightness separation”), </w:t>
      </w:r>
      <w:r>
        <w:rPr>
          <w:rFonts w:ascii="Inter" w:hAnsi="Inter" w:eastAsia="Noto Sans CJK JP"/>
          <w:b/>
        </w:rPr>
        <w:t>documented</w:t>
      </w:r>
      <w:r>
        <w:rPr>
          <w:rFonts w:ascii="Inter" w:hAnsi="Inter" w:eastAsia="Noto Sans CJK JP"/>
        </w:rPr>
        <w:t xml:space="preserve"> (“the source describes this layer order”), and </w:t>
      </w:r>
      <w:r>
        <w:rPr>
          <w:rFonts w:ascii="Inter" w:hAnsi="Inter" w:eastAsia="Noto Sans CJK JP"/>
          <w:b/>
        </w:rPr>
        <w:t>predicted</w:t>
      </w:r>
      <w:r>
        <w:rPr>
          <w:rFonts w:ascii="Inter" w:hAnsi="Inter" w:eastAsia="Noto Sans CJK JP"/>
        </w:rPr>
        <w:t xml:space="preserve"> (“your model estimates a higher preference”). This keeps arithmetic, cultural evidence and personal judgement from being merged into one assertion.</w:t>
      </w:r>
    </w:p>
    <w:p>
      <w:r>
        <w:br w:type="page"/>
      </w:r>
    </w:p>
    <w:p>
      <w:pPr>
        <w:spacing w:after="120"/>
      </w:pPr>
      <w:r>
        <w:rPr>
          <w:rFonts w:ascii="Inter" w:hAnsi="Inter" w:eastAsia="Noto Sans CJK JP"/>
          <w:b/>
          <w:color w:val="146C70"/>
          <w:sz w:val="17"/>
        </w:rPr>
        <w:t>D / EXPERIMENTAL METHOD</w:t>
      </w:r>
    </w:p>
    <w:p>
      <w:bookmarkStart w:id="16" w:name="sec16"/>
      <w:pPr>
        <w:pStyle w:val="Heading1"/>
      </w:pPr>
      <w:r>
        <w:rPr>
          <w:rFonts w:ascii="Inter" w:hAnsi="Inter" w:eastAsia="Noto Sans CJK JP"/>
        </w:rPr>
        <w:t>14. Designing comparisons that teach us something</w:t>
      </w:r>
      <w:bookmarkEnd w:id="16"/>
    </w:p>
    <w:p>
      <w:pPr>
        <w:spacing w:after="200"/>
      </w:pPr>
      <w:r>
        <w:rPr>
          <w:rFonts w:ascii="Inter" w:hAnsi="Inter" w:eastAsia="Noto Sans CJK JP"/>
          <w:color w:val="53626E"/>
          <w:sz w:val="21"/>
        </w:rPr>
        <w:t>Reproducibility and fair comparison matter more than the raw number of palettes.</w:t>
      </w:r>
    </w:p>
    <w:p>
      <w:pPr>
        <w:pStyle w:val="Heading2"/>
      </w:pPr>
      <w:r>
        <w:rPr>
          <w:rFonts w:ascii="Inter" w:hAnsi="Inter" w:eastAsia="Noto Sans CJK JP"/>
        </w:rPr>
        <w:t>Control one change at a time first</w:t>
      </w:r>
    </w:p>
    <w:p>
      <w:r>
        <w:rPr>
          <w:rFonts w:ascii="Inter" w:hAnsi="Inter" w:eastAsia="Noto Sans CJK JP"/>
        </w:rPr>
        <w:t>Begin with the same garment geometry, region masks, camera, material, light, exposure, background and rendering configuration. Vary one factor—such as chroma or accent area—while holding the others fixed. Later, test interactions deliberately using a structured multi-factor experiment.</w:t>
      </w:r>
    </w:p>
    <w:tbl>
      <w:tblPr>
        <w:tblW w:type="auto" w:w="0"/>
        <w:jc w:val="center"/>
        <w:tblLayout w:type="fixed"/>
        <w:tblLook w:firstColumn="1" w:firstRow="1" w:lastColumn="0" w:lastRow="0" w:noHBand="0" w:noVBand="1" w:val="04A0"/>
      </w:tblPr>
      <w:tblGrid>
        <w:gridCol w:w="2880"/>
        <w:gridCol w:w="6952"/>
      </w:tblGrid>
      <w:tr>
        <w:trPr>
          <w:tblHeader w:val="true"/>
        </w:trPr>
        <w:tc>
          <w:tcPr>
            <w:tcW w:type="dxa" w:w="2880"/>
            <w:shd w:fill="173146"/>
            <w:tcMar>
              <w:top w:w="95" w:type="dxa"/>
              <w:start w:w="105" w:type="dxa"/>
              <w:bottom w:w="95" w:type="dxa"/>
              <w:end w:w="105" w:type="dxa"/>
            </w:tcMar>
          </w:tcPr>
          <w:p>
            <w:pPr>
              <w:widowControl w:val="0"/>
              <w:spacing w:after="0"/>
            </w:pPr>
            <w:r>
              <w:rPr>
                <w:rFonts w:ascii="Inter" w:hAnsi="Inter" w:eastAsia="Noto Sans CJK JP"/>
                <w:b/>
                <w:color w:val="FFFFFF"/>
                <w:sz w:val="18"/>
              </w:rPr>
              <w:t>Question</w:t>
            </w:r>
          </w:p>
        </w:tc>
        <w:tc>
          <w:tcPr>
            <w:tcW w:type="dxa" w:w="6952"/>
            <w:shd w:fill="173146"/>
            <w:tcMar>
              <w:top w:w="95" w:type="dxa"/>
              <w:start w:w="105" w:type="dxa"/>
              <w:bottom w:w="95" w:type="dxa"/>
              <w:end w:w="105" w:type="dxa"/>
            </w:tcMar>
          </w:tcPr>
          <w:p>
            <w:pPr>
              <w:widowControl w:val="0"/>
              <w:spacing w:after="0"/>
            </w:pPr>
            <w:r>
              <w:rPr>
                <w:rFonts w:ascii="Inter" w:hAnsi="Inter" w:eastAsia="Noto Sans CJK JP"/>
                <w:b/>
                <w:color w:val="FFFFFF"/>
                <w:sz w:val="18"/>
              </w:rPr>
              <w:t>Example controlled experiment</w:t>
            </w:r>
          </w:p>
        </w:tc>
      </w:tr>
      <w:tr>
        <w:trPr>
          <w:cantSplit/>
        </w:trPr>
        <w:tc>
          <w:tcPr>
            <w:tcW w:type="dxa" w:w="2880"/>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Does an accent help?</w:t>
            </w:r>
          </w:p>
        </w:tc>
        <w:tc>
          <w:tcPr>
            <w:tcW w:type="dxa" w:w="6952"/>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Compare no accent, small accent and larger accent with colour and garment settings fixed.</w:t>
            </w:r>
          </w:p>
        </w:tc>
      </w:tr>
      <w:tr>
        <w:trPr>
          <w:cantSplit/>
        </w:trPr>
        <w:tc>
          <w:tcPr>
            <w:tcW w:type="dxa" w:w="2880"/>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Is the hue relationship important?</w:t>
            </w:r>
          </w:p>
        </w:tc>
        <w:tc>
          <w:tcPr>
            <w:tcW w:type="dxa" w:w="6952"/>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Compare analogous, complementary and free-form candidates while matching other constraints as closely as possible.</w:t>
            </w:r>
          </w:p>
        </w:tc>
      </w:tr>
      <w:tr>
        <w:trPr>
          <w:cantSplit/>
        </w:trPr>
        <w:tc>
          <w:tcPr>
            <w:tcW w:type="dxa" w:w="2880"/>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Does source context affect judgement?</w:t>
            </w:r>
          </w:p>
        </w:tc>
        <w:tc>
          <w:tcPr>
            <w:tcW w:type="dxa" w:w="6952"/>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Rate first without attribution, then with permitted source context; treat context as an experimental variable.</w:t>
            </w:r>
          </w:p>
        </w:tc>
      </w:tr>
      <w:tr>
        <w:trPr>
          <w:cantSplit/>
        </w:trPr>
        <w:tc>
          <w:tcPr>
            <w:tcW w:type="dxa" w:w="2880"/>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Does material change preference?</w:t>
            </w:r>
          </w:p>
        </w:tc>
        <w:tc>
          <w:tcPr>
            <w:tcW w:type="dxa" w:w="6952"/>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Apply an unchanged palette to selected material models under the same lighting; evaluate separately from the first flat comparison.</w:t>
            </w:r>
          </w:p>
        </w:tc>
      </w:tr>
      <w:tr>
        <w:trPr>
          <w:cantSplit/>
        </w:trPr>
        <w:tc>
          <w:tcPr>
            <w:tcW w:type="dxa" w:w="2880"/>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Is preference stable?</w:t>
            </w:r>
          </w:p>
        </w:tc>
        <w:tc>
          <w:tcPr>
            <w:tcW w:type="dxa" w:w="6952"/>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Repeat a subset in a later session with presentation order randomised.</w:t>
            </w:r>
          </w:p>
        </w:tc>
      </w:tr>
    </w:tbl>
    <w:p>
      <w:pPr>
        <w:spacing w:after="0"/>
      </w:pPr>
    </w:p>
    <w:p>
      <w:pPr>
        <w:pStyle w:val="Heading2"/>
      </w:pPr>
      <w:r>
        <w:rPr>
          <w:rFonts w:ascii="Inter" w:hAnsi="Inter" w:eastAsia="Noto Sans CJK JP"/>
        </w:rPr>
        <w:t>Reduce avoidable bias</w:t>
      </w:r>
    </w:p>
    <w:p>
      <w:r>
        <w:rPr>
          <w:rFonts w:ascii="Inter" w:hAnsi="Inter" w:eastAsia="Noto Sans CJK JP"/>
        </w:rPr>
        <w:t>Randomise presentation order and the left/right position of paired variants. Use neutral viewing surroundings by default, equal preview sizes and consistent exposure. Allow “no preference”, skipping and session breaks. Record the design brief; a palette preferred for a jacket may not be preferred for another use.</w:t>
      </w:r>
    </w:p>
    <w:p>
      <w:pPr>
        <w:pStyle w:val="Heading2"/>
      </w:pPr>
      <w:r>
        <w:rPr>
          <w:rFonts w:ascii="Inter" w:hAnsi="Inter" w:eastAsia="Noto Sans CJK JP"/>
        </w:rPr>
        <w:t>Keep conclusions proportional to the evidence</w:t>
      </w:r>
    </w:p>
    <w:p>
      <w:r>
        <w:rPr>
          <w:rFonts w:ascii="Inter" w:hAnsi="Inter" w:eastAsia="Noto Sans CJK JP"/>
        </w:rPr>
        <w:t>A user’s ratings support statements about that user’s recorded choices. A correlation does not establish a cause, and a small or selected sample does not establish population-wide taste. Analyse repeated observations from the same user appropriately rather than treating them as independent people.</w:t>
      </w:r>
    </w:p>
    <w:p>
      <w:pPr>
        <w:spacing w:before="140" w:after="160"/>
        <w:ind w:left="187" w:right="144"/>
        <w:shd w:fill="EFF5F5"/>
        <w:pBdr>
          <w:left w:val="single" w:sz="18" w:color="146C70" w:space="7"/>
        </w:pBdr>
      </w:pPr>
      <w:r>
        <w:rPr>
          <w:rFonts w:ascii="Inter" w:hAnsi="Inter" w:eastAsia="Noto Sans CJK JP"/>
          <w:b/>
        </w:rPr>
        <w:t>Evidence record</w:t>
      </w:r>
      <w:r>
        <w:rPr>
          <w:rFonts w:ascii="Inter" w:hAnsi="Inter" w:eastAsia="Noto Sans CJK JP"/>
        </w:rPr>
        <w:t xml:space="preserve">  Save what was shown, in what order, under which settings, with which question and which model version. The experiment includes the interface and framing—not just the palette coordinates.</w:t>
      </w:r>
    </w:p>
    <w:p>
      <w:r>
        <w:br w:type="page"/>
      </w:r>
    </w:p>
    <w:p>
      <w:pPr>
        <w:spacing w:after="120"/>
      </w:pPr>
      <w:r>
        <w:rPr>
          <w:rFonts w:ascii="Inter" w:hAnsi="Inter" w:eastAsia="Noto Sans CJK JP"/>
          <w:b/>
          <w:color w:val="146C70"/>
          <w:sz w:val="17"/>
        </w:rPr>
        <w:t>D / FIRST END-TO-END TEST</w:t>
      </w:r>
    </w:p>
    <w:p>
      <w:bookmarkStart w:id="17" w:name="sec17"/>
      <w:pPr>
        <w:pStyle w:val="Heading1"/>
      </w:pPr>
      <w:r>
        <w:rPr>
          <w:rFonts w:ascii="Inter" w:hAnsi="Inter" w:eastAsia="Noto Sans CJK JP"/>
        </w:rPr>
        <w:t>15. A 10,000-candidate starter experiment</w:t>
      </w:r>
      <w:bookmarkEnd w:id="17"/>
    </w:p>
    <w:p>
      <w:pPr>
        <w:spacing w:after="200"/>
      </w:pPr>
      <w:r>
        <w:rPr>
          <w:rFonts w:ascii="Inter" w:hAnsi="Inter" w:eastAsia="Noto Sans CJK JP"/>
          <w:color w:val="53626E"/>
          <w:sz w:val="21"/>
        </w:rPr>
        <w:t>Illustrative design only. No palettes have been generated, rendered or rated by this specification.</w:t>
      </w:r>
    </w:p>
    <w:p>
      <w:pPr>
        <w:pStyle w:val="Heading2"/>
      </w:pPr>
      <w:r>
        <w:rPr>
          <w:rFonts w:ascii="Inter" w:hAnsi="Inter" w:eastAsia="Noto Sans CJK JP"/>
        </w:rPr>
        <w:t>Goal and batch design</w:t>
      </w:r>
    </w:p>
    <w:p>
      <w:r>
        <w:rPr>
          <w:rFonts w:ascii="Inter" w:hAnsi="Inter" w:eastAsia="Noto Sans CJK JP"/>
        </w:rPr>
        <w:t>Investigate which colour structures a user prefers on one colour-block jacket. Begin with a fixed front-view garment, three semantic colour roles, neutral background and constant material appearance. Reserve cultural-source comparisons for a separate branch until the required records and permissions are ready.</w:t>
      </w:r>
    </w:p>
    <w:tbl>
      <w:tblPr>
        <w:tblW w:type="auto" w:w="0"/>
        <w:jc w:val="center"/>
        <w:tblLayout w:type="fixed"/>
        <w:tblLook w:firstColumn="1" w:firstRow="1" w:lastColumn="0" w:lastRow="0" w:noHBand="0" w:noVBand="1" w:val="04A0"/>
      </w:tblPr>
      <w:tblGrid>
        <w:gridCol w:w="2088"/>
        <w:gridCol w:w="6754"/>
        <w:gridCol w:w="990"/>
      </w:tblGrid>
      <w:tr>
        <w:trPr>
          <w:tblHeader w:val="true"/>
        </w:trPr>
        <w:tc>
          <w:tcPr>
            <w:tcW w:type="dxa" w:w="2088"/>
            <w:shd w:fill="173146"/>
            <w:tcMar>
              <w:top w:w="95" w:type="dxa"/>
              <w:start w:w="105" w:type="dxa"/>
              <w:bottom w:w="95" w:type="dxa"/>
              <w:end w:w="105" w:type="dxa"/>
            </w:tcMar>
          </w:tcPr>
          <w:p>
            <w:pPr>
              <w:widowControl w:val="0"/>
              <w:spacing w:after="0"/>
            </w:pPr>
            <w:r>
              <w:rPr>
                <w:rFonts w:ascii="Inter" w:hAnsi="Inter" w:eastAsia="Noto Sans CJK JP"/>
                <w:b/>
                <w:color w:val="FFFFFF"/>
                <w:sz w:val="18"/>
              </w:rPr>
              <w:t>Batch dimension</w:t>
            </w:r>
          </w:p>
        </w:tc>
        <w:tc>
          <w:tcPr>
            <w:tcW w:type="dxa" w:w="6754"/>
            <w:shd w:fill="173146"/>
            <w:tcMar>
              <w:top w:w="95" w:type="dxa"/>
              <w:start w:w="105" w:type="dxa"/>
              <w:bottom w:w="95" w:type="dxa"/>
              <w:end w:w="105" w:type="dxa"/>
            </w:tcMar>
          </w:tcPr>
          <w:p>
            <w:pPr>
              <w:widowControl w:val="0"/>
              <w:spacing w:after="0"/>
            </w:pPr>
            <w:r>
              <w:rPr>
                <w:rFonts w:ascii="Inter" w:hAnsi="Inter" w:eastAsia="Noto Sans CJK JP"/>
                <w:b/>
                <w:color w:val="FFFFFF"/>
                <w:sz w:val="18"/>
              </w:rPr>
              <w:t>Proposed values</w:t>
            </w:r>
          </w:p>
        </w:tc>
        <w:tc>
          <w:tcPr>
            <w:tcW w:type="dxa" w:w="990"/>
            <w:shd w:fill="173146"/>
            <w:tcMar>
              <w:top w:w="95" w:type="dxa"/>
              <w:start w:w="105" w:type="dxa"/>
              <w:bottom w:w="95" w:type="dxa"/>
              <w:end w:w="105" w:type="dxa"/>
            </w:tcMar>
          </w:tcPr>
          <w:p>
            <w:pPr>
              <w:widowControl w:val="0"/>
              <w:spacing w:after="0"/>
            </w:pPr>
            <w:r>
              <w:rPr>
                <w:rFonts w:ascii="Inter" w:hAnsi="Inter" w:eastAsia="Noto Sans CJK JP"/>
                <w:b/>
                <w:color w:val="FFFFFF"/>
                <w:sz w:val="18"/>
              </w:rPr>
              <w:t>Count</w:t>
            </w:r>
          </w:p>
        </w:tc>
      </w:tr>
      <w:tr>
        <w:trPr>
          <w:cantSplit/>
        </w:trPr>
        <w:tc>
          <w:tcPr>
            <w:tcW w:type="dxa" w:w="2088"/>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Starting hue</w:t>
            </w:r>
          </w:p>
        </w:tc>
        <w:tc>
          <w:tcPr>
            <w:tcW w:type="dxa" w:w="6754"/>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10 evenly spaced starting positions in the chosen space</w:t>
            </w:r>
          </w:p>
        </w:tc>
        <w:tc>
          <w:tcPr>
            <w:tcW w:type="dxa" w:w="990"/>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10</w:t>
            </w:r>
          </w:p>
        </w:tc>
      </w:tr>
      <w:tr>
        <w:trPr>
          <w:cantSplit/>
        </w:trPr>
        <w:tc>
          <w:tcPr>
            <w:tcW w:type="dxa" w:w="2088"/>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Generation structure</w:t>
            </w:r>
          </w:p>
        </w:tc>
        <w:tc>
          <w:tcPr>
            <w:tcW w:type="dxa" w:w="6754"/>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Monochromatic, analogous, complementary, triadic, free-form</w:t>
            </w:r>
          </w:p>
        </w:tc>
        <w:tc>
          <w:tcPr>
            <w:tcW w:type="dxa" w:w="990"/>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5</w:t>
            </w:r>
          </w:p>
        </w:tc>
      </w:tr>
      <w:tr>
        <w:trPr>
          <w:cantSplit/>
        </w:trPr>
        <w:tc>
          <w:tcPr>
            <w:tcW w:type="dxa" w:w="2088"/>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Lightness profile</w:t>
            </w:r>
          </w:p>
        </w:tc>
        <w:tc>
          <w:tcPr>
            <w:tcW w:type="dxa" w:w="6754"/>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Five predefined role-wise lightness arrangements</w:t>
            </w:r>
          </w:p>
        </w:tc>
        <w:tc>
          <w:tcPr>
            <w:tcW w:type="dxa" w:w="990"/>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5</w:t>
            </w:r>
          </w:p>
        </w:tc>
      </w:tr>
      <w:tr>
        <w:trPr>
          <w:cantSplit/>
        </w:trPr>
        <w:tc>
          <w:tcPr>
            <w:tcW w:type="dxa" w:w="2088"/>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Chroma profile</w:t>
            </w:r>
          </w:p>
        </w:tc>
        <w:tc>
          <w:tcPr>
            <w:tcW w:type="dxa" w:w="6754"/>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Five predefined role-wise chroma arrangements</w:t>
            </w:r>
          </w:p>
        </w:tc>
        <w:tc>
          <w:tcPr>
            <w:tcW w:type="dxa" w:w="990"/>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5</w:t>
            </w:r>
          </w:p>
        </w:tc>
      </w:tr>
      <w:tr>
        <w:trPr>
          <w:cantSplit/>
        </w:trPr>
        <w:tc>
          <w:tcPr>
            <w:tcW w:type="dxa" w:w="2088"/>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Visible role allocation</w:t>
            </w:r>
          </w:p>
        </w:tc>
        <w:tc>
          <w:tcPr>
            <w:tcW w:type="dxa" w:w="6754"/>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Four validated region/placement presets</w:t>
            </w:r>
          </w:p>
        </w:tc>
        <w:tc>
          <w:tcPr>
            <w:tcW w:type="dxa" w:w="990"/>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4</w:t>
            </w:r>
          </w:p>
        </w:tc>
      </w:tr>
    </w:tbl>
    <w:p>
      <w:pPr>
        <w:spacing w:after="0"/>
      </w:pPr>
    </w:p>
    <w:p>
      <w:r>
        <w:rPr>
          <w:rFonts w:ascii="Inter" w:hAnsi="Inter" w:eastAsia="Noto Sans CJK JP"/>
          <w:b/>
        </w:rPr>
        <w:t>10 × 5 × 5 × 5 × 4 = 5,000 combinations.</w:t>
      </w:r>
      <w:r>
        <w:rPr>
          <w:rFonts w:ascii="Inter" w:hAnsi="Inter" w:eastAsia="Noto Sans CJK JP"/>
        </w:rPr>
        <w:t xml:space="preserve"> Generate two seeded within-cell variants for </w:t>
      </w:r>
      <w:r>
        <w:rPr>
          <w:rFonts w:ascii="Inter" w:hAnsi="Inter" w:eastAsia="Noto Sans CJK JP"/>
          <w:b/>
        </w:rPr>
        <w:t>10,000 candidate records before rejection and deduplication</w:t>
      </w:r>
      <w:r>
        <w:rPr>
          <w:rFonts w:ascii="Inter" w:hAnsi="Inter" w:eastAsia="Noto Sans CJK JP"/>
        </w:rPr>
        <w:t>. The surviving number is an output of validation, not a guaranteed count of distinct displayable palettes.</w:t>
      </w:r>
    </w:p>
    <w:p>
      <w:pPr>
        <w:pStyle w:val="Heading2"/>
      </w:pPr>
      <w:r>
        <w:rPr>
          <w:rFonts w:ascii="Inter" w:hAnsi="Inter" w:eastAsia="Noto Sans CJK JP"/>
        </w:rPr>
        <w:t>Geometry-aware proportions</w:t>
      </w:r>
    </w:p>
    <w:p>
      <w:r>
        <w:rPr>
          <w:rFonts w:ascii="Inter" w:hAnsi="Inter" w:eastAsia="Noto Sans CJK JP"/>
        </w:rPr>
        <w:t>A fixed garment with fixed regions does not permit arbitrary area percentages. Build four explicit region or placement presets and measure the actual visible role shares. When comparing colour alone, keep the preset fixed; when comparing proportion, treat the preset change as another independent variable.</w:t>
      </w:r>
    </w:p>
    <w:p>
      <w:pPr>
        <w:pStyle w:val="Heading2"/>
      </w:pPr>
      <w:r>
        <w:rPr>
          <w:rFonts w:ascii="Inter" w:hAnsi="Inter" w:eastAsia="Noto Sans CJK JP"/>
        </w:rPr>
        <w:t>Review and analysis</w:t>
      </w:r>
    </w:p>
    <w:p>
      <w:r>
        <w:rPr>
          <w:rFonts w:ascii="Inter" w:hAnsi="Inter" w:eastAsia="Noto Sans CJK JP"/>
        </w:rPr>
        <w:t>Create cached flat thumbnails, select a diverse subset for review, then collect pairwise preferences and brief-based ratings across manageable sessions. Re-render only shortlisted variants at higher quality. Reserve held-out candidates for checking whether a preference model generalises beyond the examples used to fit it.</w:t>
      </w:r>
    </w:p>
    <w:p>
      <w:pPr>
        <w:spacing w:before="140" w:after="160"/>
        <w:ind w:left="187" w:right="144"/>
        <w:shd w:fill="EFF5F5"/>
        <w:pBdr>
          <w:left w:val="single" w:sz="18" w:color="146C70" w:space="7"/>
        </w:pBdr>
      </w:pPr>
      <w:r>
        <w:rPr>
          <w:rFonts w:ascii="Inter" w:hAnsi="Inter" w:eastAsia="Noto Sans CJK JP"/>
          <w:b/>
        </w:rPr>
        <w:t>Cultural extension</w:t>
      </w:r>
      <w:r>
        <w:rPr>
          <w:rFonts w:ascii="Inter" w:hAnsi="Inter" w:eastAsia="Noto Sans CJK JP"/>
        </w:rPr>
        <w:t xml:space="preserve">  Run Japanese source-preserving, Chinese source-informed and user-created adaptation branches with their own provenance. Compare them under matched garment conditions without implying that one sampled collection represents an entire culture.</w:t>
      </w:r>
    </w:p>
    <w:p>
      <w:r>
        <w:rPr>
          <w:rFonts w:ascii="Inter" w:hAnsi="Inter" w:eastAsia="Noto Sans CJK JP"/>
          <w:b/>
        </w:rPr>
        <w:t>Deliverables of this experiment:</w:t>
      </w:r>
      <w:r>
        <w:rPr>
          <w:rFonts w:ascii="Inter" w:hAnsi="Inter" w:eastAsia="Noto Sans CJK JP"/>
        </w:rPr>
        <w:t xml:space="preserve"> candidate manifest, rejection log, garment-region definition, preview set, evaluation records, descriptive analysis and explicitly bounded conclusions.</w:t>
      </w:r>
    </w:p>
    <w:p>
      <w:r>
        <w:br w:type="page"/>
      </w:r>
    </w:p>
    <w:p>
      <w:pPr>
        <w:spacing w:after="120"/>
      </w:pPr>
      <w:r>
        <w:rPr>
          <w:rFonts w:ascii="Inter" w:hAnsi="Inter" w:eastAsia="Noto Sans CJK JP"/>
          <w:b/>
          <w:color w:val="146C70"/>
          <w:sz w:val="17"/>
        </w:rPr>
        <w:t>D / FASHION LABORATORY</w:t>
      </w:r>
    </w:p>
    <w:p>
      <w:bookmarkStart w:id="18" w:name="sec18"/>
      <w:pPr>
        <w:pStyle w:val="Heading1"/>
      </w:pPr>
      <w:r>
        <w:rPr>
          <w:rFonts w:ascii="Inter" w:hAnsi="Inter" w:eastAsia="Noto Sans CJK JP"/>
        </w:rPr>
        <w:t>16. Garment structure and application</w:t>
      </w:r>
      <w:bookmarkEnd w:id="18"/>
    </w:p>
    <w:p>
      <w:pPr>
        <w:spacing w:after="200"/>
      </w:pPr>
      <w:r>
        <w:rPr>
          <w:rFonts w:ascii="Inter" w:hAnsi="Inter" w:eastAsia="Noto Sans CJK JP"/>
          <w:color w:val="53626E"/>
          <w:sz w:val="21"/>
        </w:rPr>
        <w:t>The garment must remain constant when the experiment is intended to isolate colour.</w:t>
      </w:r>
    </w:p>
    <w:p>
      <w:pPr>
        <w:pStyle w:val="Heading2"/>
      </w:pPr>
      <w:r>
        <w:rPr>
          <w:rFonts w:ascii="Inter" w:hAnsi="Inter" w:eastAsia="Noto Sans CJK JP"/>
        </w:rPr>
        <w:t>Start with a controllable 2D asset</w:t>
      </w:r>
    </w:p>
    <w:p>
      <w:r>
        <w:rPr>
          <w:rFonts w:ascii="Inter" w:hAnsi="Inter" w:eastAsia="Noto Sans CJK JP"/>
        </w:rPr>
        <w:t>The proposed first renderer uses an original SVG or segmented garment illustration. Assign stable region IDs to body, sleeves, collar, lining, cuffs, trim, buttons and optional pattern panels. Map colour roles to those IDs, and store the mapping separately from the palette.</w:t>
      </w:r>
    </w:p>
    <w:tbl>
      <w:tblPr>
        <w:tblW w:type="auto" w:w="0"/>
        <w:jc w:val="center"/>
        <w:tblLayout w:type="fixed"/>
        <w:tblLook w:firstColumn="1" w:firstRow="1" w:lastColumn="0" w:lastRow="0" w:noHBand="0" w:noVBand="1" w:val="04A0"/>
      </w:tblPr>
      <w:tblGrid>
        <w:gridCol w:w="2131"/>
        <w:gridCol w:w="3586"/>
        <w:gridCol w:w="4115"/>
      </w:tblGrid>
      <w:tr>
        <w:trPr>
          <w:tblHeader w:val="true"/>
        </w:trPr>
        <w:tc>
          <w:tcPr>
            <w:tcW w:type="dxa" w:w="2131"/>
            <w:shd w:fill="173146"/>
            <w:tcMar>
              <w:top w:w="95" w:type="dxa"/>
              <w:start w:w="105" w:type="dxa"/>
              <w:bottom w:w="95" w:type="dxa"/>
              <w:end w:w="105" w:type="dxa"/>
            </w:tcMar>
          </w:tcPr>
          <w:p>
            <w:pPr>
              <w:widowControl w:val="0"/>
              <w:spacing w:after="0"/>
            </w:pPr>
            <w:r>
              <w:rPr>
                <w:rFonts w:ascii="Inter" w:hAnsi="Inter" w:eastAsia="Noto Sans CJK JP"/>
                <w:b/>
                <w:color w:val="FFFFFF"/>
                <w:sz w:val="18"/>
              </w:rPr>
              <w:t>Rendering level</w:t>
            </w:r>
          </w:p>
        </w:tc>
        <w:tc>
          <w:tcPr>
            <w:tcW w:type="dxa" w:w="3586"/>
            <w:shd w:fill="173146"/>
            <w:tcMar>
              <w:top w:w="95" w:type="dxa"/>
              <w:start w:w="105" w:type="dxa"/>
              <w:bottom w:w="95" w:type="dxa"/>
              <w:end w:w="105" w:type="dxa"/>
            </w:tcMar>
          </w:tcPr>
          <w:p>
            <w:pPr>
              <w:widowControl w:val="0"/>
              <w:spacing w:after="0"/>
            </w:pPr>
            <w:r>
              <w:rPr>
                <w:rFonts w:ascii="Inter" w:hAnsi="Inter" w:eastAsia="Noto Sans CJK JP"/>
                <w:b/>
                <w:color w:val="FFFFFF"/>
                <w:sz w:val="18"/>
              </w:rPr>
              <w:t>Purpose</w:t>
            </w:r>
          </w:p>
        </w:tc>
        <w:tc>
          <w:tcPr>
            <w:tcW w:type="dxa" w:w="4115"/>
            <w:shd w:fill="173146"/>
            <w:tcMar>
              <w:top w:w="95" w:type="dxa"/>
              <w:start w:w="105" w:type="dxa"/>
              <w:bottom w:w="95" w:type="dxa"/>
              <w:end w:w="105" w:type="dxa"/>
            </w:tcMar>
          </w:tcPr>
          <w:p>
            <w:pPr>
              <w:widowControl w:val="0"/>
              <w:spacing w:after="0"/>
            </w:pPr>
            <w:r>
              <w:rPr>
                <w:rFonts w:ascii="Inter" w:hAnsi="Inter" w:eastAsia="Noto Sans CJK JP"/>
                <w:b/>
                <w:color w:val="FFFFFF"/>
                <w:sz w:val="18"/>
              </w:rPr>
              <w:t>Limit</w:t>
            </w:r>
          </w:p>
        </w:tc>
      </w:tr>
      <w:tr>
        <w:trPr>
          <w:cantSplit/>
        </w:trPr>
        <w:tc>
          <w:tcPr>
            <w:tcW w:type="dxa" w:w="213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Flat region colouring</w:t>
            </w:r>
          </w:p>
        </w:tc>
        <w:tc>
          <w:tcPr>
            <w:tcW w:type="dxa" w:w="3586"/>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Fast comparisons, clear colour placement and large candidate grids.</w:t>
            </w:r>
          </w:p>
        </w:tc>
        <w:tc>
          <w:tcPr>
            <w:tcW w:type="dxa" w:w="4115"/>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No claim of fabric realism.</w:t>
            </w:r>
          </w:p>
        </w:tc>
      </w:tr>
      <w:tr>
        <w:trPr>
          <w:cantSplit/>
        </w:trPr>
        <w:tc>
          <w:tcPr>
            <w:tcW w:type="dxa" w:w="2131"/>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Shaded 2D / photo recolour</w:t>
            </w:r>
          </w:p>
        </w:tc>
        <w:tc>
          <w:tcPr>
            <w:tcW w:type="dxa" w:w="3586"/>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A more familiar garment view while approximately preserving shading.</w:t>
            </w:r>
          </w:p>
        </w:tc>
        <w:tc>
          <w:tcPr>
            <w:tcW w:type="dxa" w:w="4115"/>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Cannot recover true reflectance or all material effects from an image.</w:t>
            </w:r>
          </w:p>
        </w:tc>
      </w:tr>
      <w:tr>
        <w:trPr>
          <w:cantSplit/>
        </w:trPr>
        <w:tc>
          <w:tcPr>
            <w:tcW w:type="dxa" w:w="213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3D material preview</w:t>
            </w:r>
          </w:p>
        </w:tc>
        <w:tc>
          <w:tcPr>
            <w:tcW w:type="dxa" w:w="3586"/>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Investigate geometry, folds, light and selected material parameters.</w:t>
            </w:r>
          </w:p>
        </w:tc>
        <w:tc>
          <w:tcPr>
            <w:tcW w:type="dxa" w:w="4115"/>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Accuracy depends on assets, calibration and the material model.</w:t>
            </w:r>
          </w:p>
        </w:tc>
      </w:tr>
      <w:tr>
        <w:trPr>
          <w:cantSplit/>
        </w:trPr>
        <w:tc>
          <w:tcPr>
            <w:tcW w:type="dxa" w:w="2131"/>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Measured material validation</w:t>
            </w:r>
          </w:p>
        </w:tc>
        <w:tc>
          <w:tcPr>
            <w:tcW w:type="dxa" w:w="3586"/>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Compare predictions to actual fabric samples under defined conditions.</w:t>
            </w:r>
          </w:p>
        </w:tc>
        <w:tc>
          <w:tcPr>
            <w:tcW w:type="dxa" w:w="4115"/>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Requires a validated capture/measurement workflow; not part of the first release.</w:t>
            </w:r>
          </w:p>
        </w:tc>
      </w:tr>
    </w:tbl>
    <w:p>
      <w:pPr>
        <w:spacing w:after="0"/>
      </w:pPr>
    </w:p>
    <w:p>
      <w:pPr>
        <w:pStyle w:val="Heading2"/>
      </w:pPr>
      <w:r>
        <w:rPr>
          <w:rFonts w:ascii="Inter" w:hAnsi="Inter" w:eastAsia="Noto Sans CJK JP"/>
        </w:rPr>
        <w:t>Composition features</w:t>
      </w:r>
    </w:p>
    <w:p>
      <w:r>
        <w:rPr>
          <w:rFonts w:ascii="Inter" w:hAnsi="Inter" w:eastAsia="Noto Sans CJK JP"/>
        </w:rPr>
        <w:t>Support dominant, secondary and accent roles; region swapping; ordered layers; front/lining relationships; and repeat patterns with scale and orientation. Record whether a comparison changes colour, role assignment, pattern scale or geometry. A palette alone does not describe the whole design.</w:t>
      </w:r>
    </w:p>
    <w:p>
      <w:pPr>
        <w:pStyle w:val="Heading2"/>
      </w:pPr>
      <w:r>
        <w:rPr>
          <w:rFonts w:ascii="Inter" w:hAnsi="Inter" w:eastAsia="Noto Sans CJK JP"/>
        </w:rPr>
        <w:t>Body and background context</w:t>
      </w:r>
    </w:p>
    <w:p>
      <w:r>
        <w:rPr>
          <w:rFonts w:ascii="Inter" w:hAnsi="Inter" w:eastAsia="Noto Sans CJK JP"/>
        </w:rPr>
        <w:t>Provide optional user-chosen mannequin and skin-tone reference backgrounds as viewing contexts. Do not infer ethnicity, health, personality or universally “flattering” colours. User photographs remain private by default, with explicit control over storage, sharing and deletion.</w:t>
      </w:r>
    </w:p>
    <w:p>
      <w:pPr>
        <w:spacing w:before="140" w:after="160"/>
        <w:ind w:left="187" w:right="144"/>
        <w:shd w:fill="EFF5F5"/>
        <w:pBdr>
          <w:left w:val="single" w:sz="18" w:color="146C70" w:space="7"/>
        </w:pBdr>
      </w:pPr>
      <w:r>
        <w:rPr>
          <w:rFonts w:ascii="Inter" w:hAnsi="Inter" w:eastAsia="Noto Sans CJK JP"/>
          <w:b/>
        </w:rPr>
        <w:t>Area is view-dependent</w:t>
      </w:r>
      <w:r>
        <w:rPr>
          <w:rFonts w:ascii="Inter" w:hAnsi="Inter" w:eastAsia="Noto Sans CJK JP"/>
        </w:rPr>
        <w:t xml:space="preserve">  Actual visible proportions change with pose, camera, occlusion and region placement. Show the chosen target role allocation and the measured visible area separately.</w:t>
      </w:r>
    </w:p>
    <w:p>
      <w:pPr>
        <w:pStyle w:val="Heading2"/>
      </w:pPr>
      <w:r>
        <w:rPr>
          <w:rFonts w:ascii="Inter" w:hAnsi="Inter" w:eastAsia="Noto Sans CJK JP"/>
        </w:rPr>
        <w:t>Future bridges</w:t>
      </w:r>
    </w:p>
    <w:p>
      <w:r>
        <w:rPr>
          <w:rFonts w:ascii="Inter" w:hAnsi="Inter" w:eastAsia="Noto Sans CJK JP"/>
        </w:rPr>
        <w:t>Evaluate CLO 3D, Marvelous Designer and Blender workflows for asset exchange and rendering. Compatibility, automation rights and current API support must be verified in a prototype before an integration is promised.</w:t>
      </w:r>
    </w:p>
    <w:p>
      <w:r>
        <w:br w:type="page"/>
      </w:r>
    </w:p>
    <w:p>
      <w:pPr>
        <w:spacing w:after="120"/>
      </w:pPr>
      <w:r>
        <w:rPr>
          <w:rFonts w:ascii="Inter" w:hAnsi="Inter" w:eastAsia="Noto Sans CJK JP"/>
          <w:b/>
          <w:color w:val="146C70"/>
          <w:sz w:val="17"/>
        </w:rPr>
        <w:t>D / MATERIAL AND LIGHT LABORATORY</w:t>
      </w:r>
    </w:p>
    <w:p>
      <w:bookmarkStart w:id="19" w:name="sec19"/>
      <w:pPr>
        <w:pStyle w:val="Heading1"/>
      </w:pPr>
      <w:r>
        <w:rPr>
          <w:rFonts w:ascii="Inter" w:hAnsi="Inter" w:eastAsia="Noto Sans CJK JP"/>
        </w:rPr>
        <w:t>17. Colour × fabric × texture × light</w:t>
      </w:r>
      <w:bookmarkEnd w:id="19"/>
    </w:p>
    <w:p>
      <w:pPr>
        <w:spacing w:after="200"/>
      </w:pPr>
      <w:r>
        <w:rPr>
          <w:rFonts w:ascii="Inter" w:hAnsi="Inter" w:eastAsia="Noto Sans CJK JP"/>
          <w:color w:val="53626E"/>
          <w:sz w:val="21"/>
        </w:rPr>
        <w:t>A material comparison is a new experiment, not merely a more decorative preview.</w:t>
      </w:r>
    </w:p>
    <w:p>
      <w:pPr>
        <w:pStyle w:val="Heading2"/>
      </w:pPr>
      <w:r>
        <w:rPr>
          <w:rFonts w:ascii="Inter" w:hAnsi="Inter" w:eastAsia="Noto Sans CJK JP"/>
        </w:rPr>
        <w:t>Parameters to represent</w:t>
      </w:r>
    </w:p>
    <w:p>
      <w:r>
        <w:rPr>
          <w:rFonts w:ascii="Inter" w:hAnsi="Inter" w:eastAsia="Noto Sans CJK JP"/>
        </w:rPr>
        <w:t>Start with a small curated set of material appearances: matte cotton, wool, silk-like satin, leather-like surfaces, nylon and velvet-like surfaces. These labels describe intended examples; they are not claims of measured material equivalence. Store roughness, reflectance-related parameters, texture scale, normal detail and transmission where the renderer supports them.</w:t>
      </w:r>
    </w:p>
    <w:tbl>
      <w:tblPr>
        <w:tblW w:type="auto" w:w="0"/>
        <w:jc w:val="center"/>
        <w:tblLayout w:type="fixed"/>
        <w:tblLook w:firstColumn="1" w:firstRow="1" w:lastColumn="0" w:lastRow="0" w:noHBand="0" w:noVBand="1" w:val="04A0"/>
      </w:tblPr>
      <w:tblGrid>
        <w:gridCol w:w="2131"/>
        <w:gridCol w:w="7701"/>
      </w:tblGrid>
      <w:tr>
        <w:trPr>
          <w:tblHeader w:val="true"/>
        </w:trPr>
        <w:tc>
          <w:tcPr>
            <w:tcW w:type="dxa" w:w="2131"/>
            <w:shd w:fill="173146"/>
            <w:tcMar>
              <w:top w:w="95" w:type="dxa"/>
              <w:start w:w="105" w:type="dxa"/>
              <w:bottom w:w="95" w:type="dxa"/>
              <w:end w:w="105" w:type="dxa"/>
            </w:tcMar>
          </w:tcPr>
          <w:p>
            <w:pPr>
              <w:widowControl w:val="0"/>
              <w:spacing w:after="0"/>
            </w:pPr>
            <w:r>
              <w:rPr>
                <w:rFonts w:ascii="Inter" w:hAnsi="Inter" w:eastAsia="Noto Sans CJK JP"/>
                <w:b/>
                <w:color w:val="FFFFFF"/>
                <w:sz w:val="18"/>
              </w:rPr>
              <w:t>Variable</w:t>
            </w:r>
          </w:p>
        </w:tc>
        <w:tc>
          <w:tcPr>
            <w:tcW w:type="dxa" w:w="7701"/>
            <w:shd w:fill="173146"/>
            <w:tcMar>
              <w:top w:w="95" w:type="dxa"/>
              <w:start w:w="105" w:type="dxa"/>
              <w:bottom w:w="95" w:type="dxa"/>
              <w:end w:w="105" w:type="dxa"/>
            </w:tcMar>
          </w:tcPr>
          <w:p>
            <w:pPr>
              <w:widowControl w:val="0"/>
              <w:spacing w:after="0"/>
            </w:pPr>
            <w:r>
              <w:rPr>
                <w:rFonts w:ascii="Inter" w:hAnsi="Inter" w:eastAsia="Noto Sans CJK JP"/>
                <w:b/>
                <w:color w:val="FFFFFF"/>
                <w:sz w:val="18"/>
              </w:rPr>
              <w:t>What the experiment records</w:t>
            </w:r>
          </w:p>
        </w:tc>
      </w:tr>
      <w:tr>
        <w:trPr>
          <w:cantSplit/>
        </w:trPr>
        <w:tc>
          <w:tcPr>
            <w:tcW w:type="dxa" w:w="213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Material</w:t>
            </w:r>
          </w:p>
        </w:tc>
        <w:tc>
          <w:tcPr>
            <w:tcW w:type="dxa" w:w="770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Asset ID, texture files and versions, parameter values, units and evidence of measurement if any.</w:t>
            </w:r>
          </w:p>
        </w:tc>
      </w:tr>
      <w:tr>
        <w:trPr>
          <w:cantSplit/>
        </w:trPr>
        <w:tc>
          <w:tcPr>
            <w:tcW w:type="dxa" w:w="2131"/>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Lighting</w:t>
            </w:r>
          </w:p>
        </w:tc>
        <w:tc>
          <w:tcPr>
            <w:tcW w:type="dxa" w:w="7701"/>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Source/environment asset, intensity, direction, size and spectral data when available.</w:t>
            </w:r>
          </w:p>
        </w:tc>
      </w:tr>
      <w:tr>
        <w:trPr>
          <w:cantSplit/>
        </w:trPr>
        <w:tc>
          <w:tcPr>
            <w:tcW w:type="dxa" w:w="213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Viewing</w:t>
            </w:r>
          </w:p>
        </w:tc>
        <w:tc>
          <w:tcPr>
            <w:tcW w:type="dxa" w:w="770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Camera, exposure, background, pose, render resolution and view transform.</w:t>
            </w:r>
          </w:p>
        </w:tc>
      </w:tr>
      <w:tr>
        <w:trPr>
          <w:cantSplit/>
        </w:trPr>
        <w:tc>
          <w:tcPr>
            <w:tcW w:type="dxa" w:w="2131"/>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Colour pipeline</w:t>
            </w:r>
          </w:p>
        </w:tc>
        <w:tc>
          <w:tcPr>
            <w:tcW w:type="dxa" w:w="7701"/>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Input spaces, linearisation where required, working space, output conversion and configuration versions.</w:t>
            </w:r>
          </w:p>
        </w:tc>
      </w:tr>
      <w:tr>
        <w:trPr>
          <w:cantSplit/>
        </w:trPr>
        <w:tc>
          <w:tcPr>
            <w:tcW w:type="dxa" w:w="213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Physical validation</w:t>
            </w:r>
          </w:p>
        </w:tc>
        <w:tc>
          <w:tcPr>
            <w:tcW w:type="dxa" w:w="770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Sample identity, instrument/geometry, illuminant, observer and comparison method when measured.</w:t>
            </w:r>
          </w:p>
        </w:tc>
      </w:tr>
    </w:tbl>
    <w:p>
      <w:pPr>
        <w:spacing w:after="0"/>
      </w:pPr>
    </w:p>
    <w:p>
      <w:pPr>
        <w:pStyle w:val="Heading2"/>
      </w:pPr>
      <w:r>
        <w:rPr>
          <w:rFonts w:ascii="Inter" w:hAnsi="Inter" w:eastAsia="Noto Sans CJK JP"/>
        </w:rPr>
        <w:t>Do not merge swatch and beauty views</w:t>
      </w:r>
    </w:p>
    <w:p>
      <w:r>
        <w:rPr>
          <w:rFonts w:ascii="Inter" w:hAnsi="Inter" w:eastAsia="Noto Sans CJK JP"/>
        </w:rPr>
        <w:t xml:space="preserve">A numerical swatch should be shown in a controlled data view. A garment render may include lighting and a view transform that changes appearance. Provide both and identify the active view. A colour-management framework such as OpenColorIO is a candidate for consistent transforms across rendering tools. </w:t>
      </w:r>
      <w:r>
        <w:rPr>
          <w:rFonts w:ascii="Inter" w:hAnsi="Inter" w:eastAsia="Noto Sans CJK JP"/>
          <w:color w:val="146C70"/>
        </w:rPr>
        <w:t>[</w:t>
      </w:r>
      <w:hyperlink w:anchor="ref14">
        <w:r>
          <w:rPr>
            <w:rFonts w:ascii="Inter" w:hAnsi="Inter" w:eastAsia="Noto Sans CJK JP"/>
            <w:color w:val="146C70"/>
            <w:sz w:val="21"/>
            <w:u w:val="single"/>
          </w:rPr>
          <w:t>14</w:t>
        </w:r>
      </w:hyperlink>
      <w:r>
        <w:rPr>
          <w:rFonts w:ascii="Inter" w:hAnsi="Inter" w:eastAsia="Noto Sans CJK JP"/>
          <w:color w:val="146C70"/>
        </w:rPr>
        <w:t>]</w:t>
      </w:r>
    </w:p>
    <w:p>
      <w:pPr>
        <w:pStyle w:val="Heading2"/>
      </w:pPr>
      <w:r>
        <w:rPr>
          <w:rFonts w:ascii="Inter" w:hAnsi="Inter" w:eastAsia="Noto Sans CJK JP"/>
        </w:rPr>
        <w:t>Spectral and special-effect limits</w:t>
      </w:r>
    </w:p>
    <w:p>
      <w:r>
        <w:rPr>
          <w:rFonts w:ascii="Inter" w:hAnsi="Inter" w:eastAsia="Noto Sans CJK JP"/>
        </w:rPr>
        <w:t xml:space="preserve">Spectral workflows can use reflectance and illumination data for tristimulus calculations; arbitrary RGB colours do not supply that information. </w:t>
      </w:r>
      <w:r>
        <w:rPr>
          <w:rFonts w:ascii="Inter" w:hAnsi="Inter" w:eastAsia="Noto Sans CJK JP"/>
          <w:color w:val="146C70"/>
        </w:rPr>
        <w:t>[</w:t>
      </w:r>
      <w:hyperlink w:anchor="ref13">
        <w:r>
          <w:rPr>
            <w:rFonts w:ascii="Inter" w:hAnsi="Inter" w:eastAsia="Noto Sans CJK JP"/>
            <w:color w:val="146C70"/>
            <w:sz w:val="21"/>
            <w:u w:val="single"/>
          </w:rPr>
          <w:t>13</w:t>
        </w:r>
      </w:hyperlink>
      <w:r>
        <w:rPr>
          <w:rFonts w:ascii="Inter" w:hAnsi="Inter" w:eastAsia="Noto Sans CJK JP"/>
          <w:color w:val="146C70"/>
        </w:rPr>
        <w:t>]</w:t>
      </w:r>
      <w:r>
        <w:rPr>
          <w:rFonts w:ascii="Inter" w:hAnsi="Inter" w:eastAsia="Noto Sans CJK JP"/>
        </w:rPr>
        <w:t xml:space="preserve"> Fluorescence, iridescence, metallic finishes, deep pile and complex translucency need specialised models or explicit approximation labels. Unsupported effects should not be silently represented as ordinary matte colour.</w:t>
      </w:r>
    </w:p>
    <w:p>
      <w:pPr>
        <w:spacing w:before="140" w:after="160"/>
        <w:ind w:left="187" w:right="144"/>
        <w:shd w:fill="EFF5F5"/>
        <w:pBdr>
          <w:left w:val="single" w:sz="18" w:color="146C70" w:space="7"/>
        </w:pBdr>
      </w:pPr>
      <w:r>
        <w:rPr>
          <w:rFonts w:ascii="Inter" w:hAnsi="Inter" w:eastAsia="Noto Sans CJK JP"/>
          <w:b/>
        </w:rPr>
        <w:t>Validation gate</w:t>
      </w:r>
      <w:r>
        <w:rPr>
          <w:rFonts w:ascii="Inter" w:hAnsi="Inter" w:eastAsia="Noto Sans CJK JP"/>
        </w:rPr>
        <w:t xml:space="preserve">  Before calling a material mode predictive, compare its outputs against defined physical samples under multiple documented conditions. Until then, call it exploratory visualisation.</w:t>
      </w:r>
    </w:p>
    <w:p>
      <w:pPr>
        <w:pStyle w:val="Heading2"/>
      </w:pPr>
      <w:r>
        <w:rPr>
          <w:rFonts w:ascii="Inter" w:hAnsi="Inter" w:eastAsia="Noto Sans CJK JP"/>
        </w:rPr>
        <w:t>Rendering policy</w:t>
      </w:r>
    </w:p>
    <w:p>
      <w:r>
        <w:rPr>
          <w:rFonts w:ascii="Inter" w:hAnsi="Inter" w:eastAsia="Noto Sans CJK JP"/>
        </w:rPr>
        <w:t>Use inexpensive interactive previews and queued high-quality rendering. Save render settings with the experiment and cache by asset and configuration hashes. A software update must not silently change the interpretation of an archived result.</w:t>
      </w:r>
    </w:p>
    <w:p>
      <w:r>
        <w:br w:type="page"/>
      </w:r>
    </w:p>
    <w:p>
      <w:pPr>
        <w:spacing w:after="120"/>
      </w:pPr>
      <w:r>
        <w:rPr>
          <w:rFonts w:ascii="Inter" w:hAnsi="Inter" w:eastAsia="Noto Sans CJK JP"/>
          <w:b/>
          <w:color w:val="146C70"/>
          <w:sz w:val="17"/>
        </w:rPr>
        <w:t>D / INPUTS, ACCESSIBILITY AND OUTPUTS</w:t>
      </w:r>
    </w:p>
    <w:p>
      <w:bookmarkStart w:id="20" w:name="sec20"/>
      <w:pPr>
        <w:pStyle w:val="Heading1"/>
      </w:pPr>
      <w:r>
        <w:rPr>
          <w:rFonts w:ascii="Inter" w:hAnsi="Inter" w:eastAsia="Noto Sans CJK JP"/>
        </w:rPr>
        <w:t>18. From inspiration to a usable result</w:t>
      </w:r>
      <w:bookmarkEnd w:id="20"/>
    </w:p>
    <w:p>
      <w:pPr>
        <w:spacing w:after="200"/>
      </w:pPr>
      <w:r>
        <w:rPr>
          <w:rFonts w:ascii="Inter" w:hAnsi="Inter" w:eastAsia="Noto Sans CJK JP"/>
          <w:color w:val="53626E"/>
          <w:sz w:val="21"/>
        </w:rPr>
        <w:t>Every import and export should preserve enough context to avoid false precision.</w:t>
      </w:r>
    </w:p>
    <w:p>
      <w:pPr>
        <w:pStyle w:val="Heading2"/>
      </w:pPr>
      <w:r>
        <w:rPr>
          <w:rFonts w:ascii="Inter" w:hAnsi="Inter" w:eastAsia="Noto Sans CJK JP"/>
        </w:rPr>
        <w:t>Inputs and capture</w:t>
      </w:r>
    </w:p>
    <w:p>
      <w:r>
        <w:rPr>
          <w:rFonts w:ascii="Inter" w:hAnsi="Inter" w:eastAsia="Noto Sans CJK JP"/>
        </w:rPr>
        <w:t xml:space="preserve">Allow manual colour entry, palette files, photographs, scanned references where permitted, and measured data in supported formats. Record original files, embedded profiles and known capture conditions. A photographed swatch under unknown light is an approximate inspiration source, not an instrument reading. Reliable colour conversion needs suitable profiles. </w:t>
      </w:r>
      <w:r>
        <w:rPr>
          <w:rFonts w:ascii="Inter" w:hAnsi="Inter" w:eastAsia="Noto Sans CJK JP"/>
          <w:color w:val="146C70"/>
        </w:rPr>
        <w:t>[</w:t>
      </w:r>
      <w:hyperlink w:anchor="ref12">
        <w:r>
          <w:rPr>
            <w:rFonts w:ascii="Inter" w:hAnsi="Inter" w:eastAsia="Noto Sans CJK JP"/>
            <w:color w:val="146C70"/>
            <w:sz w:val="21"/>
            <w:u w:val="single"/>
          </w:rPr>
          <w:t>12</w:t>
        </w:r>
      </w:hyperlink>
      <w:r>
        <w:rPr>
          <w:rFonts w:ascii="Inter" w:hAnsi="Inter" w:eastAsia="Noto Sans CJK JP"/>
          <w:color w:val="146C70"/>
        </w:rPr>
        <w:t>]</w:t>
      </w:r>
    </w:p>
    <w:p>
      <w:pPr>
        <w:pStyle w:val="Heading2"/>
      </w:pPr>
      <w:r>
        <w:rPr>
          <w:rFonts w:ascii="Inter" w:hAnsi="Inter" w:eastAsia="Noto Sans CJK JP"/>
        </w:rPr>
        <w:t>Accessible interaction</w:t>
      </w:r>
    </w:p>
    <w:p>
      <w:r>
        <w:rPr>
          <w:rFonts w:ascii="Inter" w:hAnsi="Inter" w:eastAsia="Noto Sans CJK JP"/>
        </w:rPr>
        <w:t xml:space="preserve">Aim for WCAG 2.2 AA in the interface. Ordinary text generally requires at least 4.5:1 contrast; qualifying large text generally requires 3:1, subject to the criterion’s scope and exceptions. Use labels, outlines, patterns or symbols in addition to colour for statuses and selections. </w:t>
      </w:r>
      <w:r>
        <w:rPr>
          <w:rFonts w:ascii="Inter" w:hAnsi="Inter" w:eastAsia="Noto Sans CJK JP"/>
          <w:color w:val="146C70"/>
        </w:rPr>
        <w:t>[</w:t>
      </w:r>
      <w:hyperlink w:anchor="ref15">
        <w:r>
          <w:rPr>
            <w:rFonts w:ascii="Inter" w:hAnsi="Inter" w:eastAsia="Noto Sans CJK JP"/>
            <w:color w:val="146C70"/>
            <w:sz w:val="21"/>
            <w:u w:val="single"/>
          </w:rPr>
          <w:t>15</w:t>
        </w:r>
      </w:hyperlink>
      <w:r>
        <w:rPr>
          <w:rFonts w:ascii="Inter" w:hAnsi="Inter" w:eastAsia="Noto Sans CJK JP"/>
          <w:color w:val="146C70"/>
        </w:rPr>
        <w:t xml:space="preserve">, </w:t>
      </w:r>
      <w:hyperlink w:anchor="ref16">
        <w:r>
          <w:rPr>
            <w:rFonts w:ascii="Inter" w:hAnsi="Inter" w:eastAsia="Noto Sans CJK JP"/>
            <w:color w:val="146C70"/>
            <w:sz w:val="21"/>
            <w:u w:val="single"/>
          </w:rPr>
          <w:t>16</w:t>
        </w:r>
      </w:hyperlink>
      <w:r>
        <w:rPr>
          <w:rFonts w:ascii="Inter" w:hAnsi="Inter" w:eastAsia="Noto Sans CJK JP"/>
          <w:color w:val="146C70"/>
        </w:rPr>
        <w:t>]</w:t>
      </w:r>
    </w:p>
    <w:p>
      <w:r>
        <w:rPr>
          <w:rFonts w:ascii="Inter" w:hAnsi="Inter" w:eastAsia="Noto Sans CJK JP"/>
        </w:rPr>
        <w:t>Support keyboard navigation, screen-reader names, visible focus, numeric editing, zoom and reduced-motion preferences. Optional colour-vision simulations should be labelled approximations and paired with non-colour cues. They are not medical tests or guarantees of an individual viewer’s experience.</w:t>
      </w:r>
    </w:p>
    <w:p>
      <w:pPr>
        <w:pStyle w:val="Heading2"/>
      </w:pPr>
      <w:r>
        <w:rPr>
          <w:rFonts w:ascii="Inter" w:hAnsi="Inter" w:eastAsia="Noto Sans CJK JP"/>
        </w:rPr>
        <w:t>Outputs by level of confidence</w:t>
      </w:r>
    </w:p>
    <w:tbl>
      <w:tblPr>
        <w:tblW w:type="auto" w:w="0"/>
        <w:jc w:val="center"/>
        <w:tblLayout w:type="fixed"/>
        <w:tblLook w:firstColumn="1" w:firstRow="1" w:lastColumn="0" w:lastRow="0" w:noHBand="0" w:noVBand="1" w:val="04A0"/>
      </w:tblPr>
      <w:tblGrid>
        <w:gridCol w:w="2491"/>
        <w:gridCol w:w="7341"/>
      </w:tblGrid>
      <w:tr>
        <w:trPr>
          <w:tblHeader w:val="true"/>
        </w:trPr>
        <w:tc>
          <w:tcPr>
            <w:tcW w:type="dxa" w:w="2491"/>
            <w:shd w:fill="173146"/>
            <w:tcMar>
              <w:top w:w="95" w:type="dxa"/>
              <w:start w:w="105" w:type="dxa"/>
              <w:bottom w:w="95" w:type="dxa"/>
              <w:end w:w="105" w:type="dxa"/>
            </w:tcMar>
          </w:tcPr>
          <w:p>
            <w:pPr>
              <w:widowControl w:val="0"/>
              <w:spacing w:after="0"/>
            </w:pPr>
            <w:r>
              <w:rPr>
                <w:rFonts w:ascii="Inter" w:hAnsi="Inter" w:eastAsia="Noto Sans CJK JP"/>
                <w:b/>
                <w:color w:val="FFFFFF"/>
                <w:sz w:val="18"/>
              </w:rPr>
              <w:t>Output</w:t>
            </w:r>
          </w:p>
        </w:tc>
        <w:tc>
          <w:tcPr>
            <w:tcW w:type="dxa" w:w="7341"/>
            <w:shd w:fill="173146"/>
            <w:tcMar>
              <w:top w:w="95" w:type="dxa"/>
              <w:start w:w="105" w:type="dxa"/>
              <w:bottom w:w="95" w:type="dxa"/>
              <w:end w:w="105" w:type="dxa"/>
            </w:tcMar>
          </w:tcPr>
          <w:p>
            <w:pPr>
              <w:widowControl w:val="0"/>
              <w:spacing w:after="0"/>
            </w:pPr>
            <w:r>
              <w:rPr>
                <w:rFonts w:ascii="Inter" w:hAnsi="Inter" w:eastAsia="Noto Sans CJK JP"/>
                <w:b/>
                <w:color w:val="FFFFFF"/>
                <w:sz w:val="18"/>
              </w:rPr>
              <w:t>Required context</w:t>
            </w:r>
          </w:p>
        </w:tc>
      </w:tr>
      <w:tr>
        <w:trPr>
          <w:cantSplit/>
        </w:trPr>
        <w:tc>
          <w:tcPr>
            <w:tcW w:type="dxa" w:w="249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Palette JSON / project bundle</w:t>
            </w:r>
          </w:p>
        </w:tc>
        <w:tc>
          <w:tcPr>
            <w:tcW w:type="dxa" w:w="734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Spaces, source values, mapped values, roles, provenance, rights and generator settings.</w:t>
            </w:r>
          </w:p>
        </w:tc>
      </w:tr>
      <w:tr>
        <w:trPr>
          <w:cantSplit/>
        </w:trPr>
        <w:tc>
          <w:tcPr>
            <w:tcW w:type="dxa" w:w="2491"/>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CSS / digital swatches</w:t>
            </w:r>
          </w:p>
        </w:tc>
        <w:tc>
          <w:tcPr>
            <w:tcW w:type="dxa" w:w="7341"/>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Explicit space or sRGB fallback; gamut and approximation notes where relevant.</w:t>
            </w:r>
          </w:p>
        </w:tc>
      </w:tr>
      <w:tr>
        <w:trPr>
          <w:cantSplit/>
        </w:trPr>
        <w:tc>
          <w:tcPr>
            <w:tcW w:type="dxa" w:w="249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PNG / SVG / comparison board</w:t>
            </w:r>
          </w:p>
        </w:tc>
        <w:tc>
          <w:tcPr>
            <w:tcW w:type="dxa" w:w="734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Profile or space information as supported, legends and experiment ID.</w:t>
            </w:r>
          </w:p>
        </w:tc>
      </w:tr>
      <w:tr>
        <w:trPr>
          <w:cantSplit/>
        </w:trPr>
        <w:tc>
          <w:tcPr>
            <w:tcW w:type="dxa" w:w="2491"/>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Design handoff / tech-pack input</w:t>
            </w:r>
          </w:p>
        </w:tc>
        <w:tc>
          <w:tcPr>
            <w:tcW w:type="dxa" w:w="7341"/>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Garment regions, role assignments, material references, target conditions and sample-approval status.</w:t>
            </w:r>
          </w:p>
        </w:tc>
      </w:tr>
      <w:tr>
        <w:trPr>
          <w:cantSplit/>
        </w:trPr>
        <w:tc>
          <w:tcPr>
            <w:tcW w:type="dxa" w:w="249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Print / physical reference</w:t>
            </w:r>
          </w:p>
        </w:tc>
        <w:tc>
          <w:tcPr>
            <w:tcW w:type="dxa" w:w="7341"/>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Target profile or identified physical standard when licensed and available; never a generic “exact CMYK” claim.</w:t>
            </w:r>
          </w:p>
        </w:tc>
      </w:tr>
    </w:tbl>
    <w:p>
      <w:pPr>
        <w:spacing w:after="0"/>
      </w:pPr>
    </w:p>
    <w:p>
      <w:pPr>
        <w:spacing w:before="140" w:after="160"/>
        <w:ind w:left="187" w:right="144"/>
        <w:shd w:fill="EFF5F5"/>
        <w:pBdr>
          <w:left w:val="single" w:sz="18" w:color="146C70" w:space="7"/>
        </w:pBdr>
      </w:pPr>
      <w:r>
        <w:rPr>
          <w:rFonts w:ascii="Inter" w:hAnsi="Inter" w:eastAsia="Noto Sans CJK JP"/>
          <w:b/>
        </w:rPr>
        <w:t>Industrial references</w:t>
      </w:r>
      <w:r>
        <w:rPr>
          <w:rFonts w:ascii="Inter" w:hAnsi="Inter" w:eastAsia="Noto Sans CJK JP"/>
        </w:rPr>
        <w:t xml:space="preserve">  Commercial systems and swatch libraries, including textile colour references, require a separate evaluation of licences, identifiers, measurement data and supported export uses. Do not approximate a proprietary reference and label it as a certified match.</w:t>
      </w:r>
    </w:p>
    <w:p>
      <w:r>
        <w:br w:type="page"/>
      </w:r>
    </w:p>
    <w:p>
      <w:pPr>
        <w:spacing w:after="120"/>
      </w:pPr>
      <w:r>
        <w:rPr>
          <w:rFonts w:ascii="Inter" w:hAnsi="Inter" w:eastAsia="Noto Sans CJK JP"/>
          <w:b/>
          <w:color w:val="146C70"/>
          <w:sz w:val="17"/>
        </w:rPr>
        <w:t>E / EVALUATION AND DISCOVERY</w:t>
      </w:r>
    </w:p>
    <w:p>
      <w:bookmarkStart w:id="21" w:name="sec21"/>
      <w:pPr>
        <w:pStyle w:val="Heading1"/>
      </w:pPr>
      <w:r>
        <w:rPr>
          <w:rFonts w:ascii="Inter" w:hAnsi="Inter" w:eastAsia="Noto Sans CJK JP"/>
        </w:rPr>
        <w:t>19. Human judgement and preference learning</w:t>
      </w:r>
      <w:bookmarkEnd w:id="21"/>
    </w:p>
    <w:p>
      <w:pPr>
        <w:spacing w:after="200"/>
      </w:pPr>
      <w:r>
        <w:rPr>
          <w:rFonts w:ascii="Inter" w:hAnsi="Inter" w:eastAsia="Noto Sans CJK JP"/>
          <w:color w:val="53626E"/>
          <w:sz w:val="21"/>
        </w:rPr>
        <w:t>Learn what a person prefers in a context—not what colours are universally good.</w:t>
      </w:r>
    </w:p>
    <w:p>
      <w:pPr>
        <w:pStyle w:val="Heading2"/>
      </w:pPr>
      <w:r>
        <w:rPr>
          <w:rFonts w:ascii="Inter" w:hAnsi="Inter" w:eastAsia="Noto Sans CJK JP"/>
        </w:rPr>
        <w:t>Ask more than “beautiful or ugly”</w:t>
      </w:r>
    </w:p>
    <w:p>
      <w:r>
        <w:rPr>
          <w:rFonts w:ascii="Inter" w:hAnsi="Inter" w:eastAsia="Noto Sans CJK JP"/>
        </w:rPr>
        <w:t>Offer separate responses for personal preference, willingness to wear, fit to the brief, visual interest and perceived balance. Let users define project-specific criteria. Descriptions such as “elegant” or “calm” should be user-selected labels, not assumed universal properties of colours.</w:t>
      </w:r>
    </w:p>
    <w:p>
      <w:pPr>
        <w:pStyle w:val="Heading2"/>
      </w:pPr>
      <w:r>
        <w:rPr>
          <w:rFonts w:ascii="Inter" w:hAnsi="Inter" w:eastAsia="Noto Sans CJK JP"/>
        </w:rPr>
        <w:t>Two complementary feedback modes</w:t>
      </w:r>
    </w:p>
    <w:p>
      <w:r>
        <w:rPr>
          <w:rFonts w:ascii="Inter" w:hAnsi="Inter" w:eastAsia="Noto Sans CJK JP"/>
          <w:b/>
        </w:rPr>
        <w:t>Pairwise comparison</w:t>
      </w:r>
      <w:r>
        <w:rPr>
          <w:rFonts w:ascii="Inter" w:hAnsi="Inter" w:eastAsia="Noto Sans CJK JP"/>
        </w:rPr>
        <w:t xml:space="preserve"> asks which of two controlled variants the user prefers, with “equal” and “skip” options. </w:t>
      </w:r>
      <w:r>
        <w:rPr>
          <w:rFonts w:ascii="Inter" w:hAnsi="Inter" w:eastAsia="Noto Sans CJK JP"/>
          <w:b/>
        </w:rPr>
        <w:t>Individual rating</w:t>
      </w:r>
      <w:r>
        <w:rPr>
          <w:rFonts w:ascii="Inter" w:hAnsi="Inter" w:eastAsia="Noto Sans CJK JP"/>
        </w:rPr>
        <w:t xml:space="preserve"> records responses to one candidate against a stated criterion. Save the precise question, session and context; do not treat different criteria as interchangeable training labels.</w:t>
      </w:r>
    </w:p>
    <w:p>
      <w:pPr>
        <w:pStyle w:val="Heading2"/>
      </w:pPr>
      <w:r>
        <w:rPr>
          <w:rFonts w:ascii="Inter" w:hAnsi="Inter" w:eastAsia="Noto Sans CJK JP"/>
        </w:rPr>
        <w:t>Start with transparent analysis</w:t>
      </w:r>
    </w:p>
    <w:p>
      <w:r>
        <w:rPr>
          <w:rFonts w:ascii="Inter" w:hAnsi="Inter" w:eastAsia="Noto Sans CJK JP"/>
        </w:rPr>
        <w:t>Begin with filterable rating summaries and plots of response against measured features. Add a small, interpretable preference model only when there is enough varied feedback to assess it. Split evaluation data by palette family or experiment where necessary to reduce leakage from near-duplicates. Report uncertainty and performance against a simple baseline.</w:t>
      </w:r>
    </w:p>
    <w:p>
      <w:pPr>
        <w:pStyle w:val="Heading2"/>
      </w:pPr>
      <w:r>
        <w:rPr>
          <w:rFonts w:ascii="Inter" w:hAnsi="Inter" w:eastAsia="Noto Sans CJK JP"/>
        </w:rPr>
        <w:t>Discover without narrowing too early</w:t>
      </w:r>
    </w:p>
    <w:p>
      <w:r>
        <w:rPr>
          <w:rFonts w:ascii="Inter" w:hAnsi="Inter" w:eastAsia="Noto Sans CJK JP"/>
        </w:rPr>
        <w:t>Suggest both nearby alternatives and intentionally different candidates. Let users control exploration versus familiarity. Show why a suggestion was selected: proximity to a favourite, a changed accent, a source relationship or model prediction. Never disguise a sponsored suggestion as an inferred preference.</w:t>
      </w:r>
    </w:p>
    <w:p>
      <w:pPr>
        <w:spacing w:before="140" w:after="160"/>
        <w:ind w:left="187" w:right="144"/>
        <w:shd w:fill="EFF5F5"/>
        <w:pBdr>
          <w:left w:val="single" w:sz="18" w:color="146C70" w:space="7"/>
        </w:pBdr>
      </w:pPr>
      <w:r>
        <w:rPr>
          <w:rFonts w:ascii="Inter" w:hAnsi="Inter" w:eastAsia="Noto Sans CJK JP"/>
          <w:b/>
        </w:rPr>
        <w:t>Example explanation — hypothetical</w:t>
      </w:r>
      <w:r>
        <w:rPr>
          <w:rFonts w:ascii="Inter" w:hAnsi="Inter" w:eastAsia="Noto Sans CJK JP"/>
        </w:rPr>
        <w:t xml:space="preserve">  “Compared with your selected design, this variant lowers sleeve chroma and increases trim lightness. Similar choices received higher ratings in this project. Confidence is limited because this material has few ratings.” This is a format example, not a finding about the user.</w:t>
      </w:r>
    </w:p>
    <w:p>
      <w:pPr>
        <w:pStyle w:val="Heading2"/>
      </w:pPr>
      <w:r>
        <w:rPr>
          <w:rFonts w:ascii="Inter" w:hAnsi="Inter" w:eastAsia="Noto Sans CJK JP"/>
        </w:rPr>
        <w:t>AI assistance boundaries</w:t>
      </w:r>
    </w:p>
    <w:p>
      <w:r>
        <w:rPr>
          <w:rFonts w:ascii="Inter" w:hAnsi="Inter" w:eastAsia="Noto Sans CJK JP"/>
        </w:rPr>
        <w:t>An assistant may help search, formulate experiments and summarise recorded evidence. It must cite curated records for historical claims, distinguish inference from fact, and never invent colour names, source pages, permissions or causal explanations. User content and ratings must not be used for model training without explicit consent.</w:t>
      </w:r>
    </w:p>
    <w:p>
      <w:r>
        <w:br w:type="page"/>
      </w:r>
    </w:p>
    <w:p>
      <w:pPr>
        <w:spacing w:after="120"/>
      </w:pPr>
      <w:r>
        <w:rPr>
          <w:rFonts w:ascii="Inter" w:hAnsi="Inter" w:eastAsia="Noto Sans CJK JP"/>
          <w:b/>
          <w:color w:val="146C70"/>
          <w:sz w:val="17"/>
        </w:rPr>
        <w:t>E / PRODUCT EXPERIENCE</w:t>
      </w:r>
    </w:p>
    <w:p>
      <w:bookmarkStart w:id="22" w:name="sec22"/>
      <w:pPr>
        <w:pStyle w:val="Heading1"/>
      </w:pPr>
      <w:r>
        <w:rPr>
          <w:rFonts w:ascii="Inter" w:hAnsi="Inter" w:eastAsia="Noto Sans CJK JP"/>
        </w:rPr>
        <w:t>20. Screens and user journeys</w:t>
      </w:r>
      <w:bookmarkEnd w:id="22"/>
    </w:p>
    <w:p>
      <w:pPr>
        <w:spacing w:after="200"/>
      </w:pPr>
      <w:r>
        <w:rPr>
          <w:rFonts w:ascii="Inter" w:hAnsi="Inter" w:eastAsia="Noto Sans CJK JP"/>
          <w:color w:val="53626E"/>
          <w:sz w:val="21"/>
        </w:rPr>
        <w:t>Explore, Compare and Discover form the core; the dictionary remains one click away.</w:t>
      </w:r>
    </w:p>
    <w:tbl>
      <w:tblPr>
        <w:tblW w:type="auto" w:w="0"/>
        <w:jc w:val="center"/>
        <w:tblLayout w:type="fixed"/>
        <w:tblLook w:firstColumn="1" w:firstRow="1" w:lastColumn="0" w:lastRow="0" w:noHBand="0" w:noVBand="1" w:val="04A0"/>
      </w:tblPr>
      <w:tblGrid>
        <w:gridCol w:w="1656"/>
        <w:gridCol w:w="3053"/>
        <w:gridCol w:w="5123"/>
      </w:tblGrid>
      <w:tr>
        <w:trPr>
          <w:tblHeader w:val="true"/>
        </w:trPr>
        <w:tc>
          <w:tcPr>
            <w:tcW w:type="dxa" w:w="1656"/>
            <w:shd w:fill="173146"/>
            <w:tcMar>
              <w:top w:w="95" w:type="dxa"/>
              <w:start w:w="105" w:type="dxa"/>
              <w:bottom w:w="95" w:type="dxa"/>
              <w:end w:w="105" w:type="dxa"/>
            </w:tcMar>
          </w:tcPr>
          <w:p>
            <w:pPr>
              <w:widowControl w:val="0"/>
              <w:spacing w:after="0"/>
            </w:pPr>
            <w:r>
              <w:rPr>
                <w:rFonts w:ascii="Inter" w:hAnsi="Inter" w:eastAsia="Noto Sans CJK JP"/>
                <w:b/>
                <w:color w:val="FFFFFF"/>
                <w:sz w:val="18"/>
              </w:rPr>
              <w:t>Screen</w:t>
            </w:r>
          </w:p>
        </w:tc>
        <w:tc>
          <w:tcPr>
            <w:tcW w:type="dxa" w:w="3053"/>
            <w:shd w:fill="173146"/>
            <w:tcMar>
              <w:top w:w="95" w:type="dxa"/>
              <w:start w:w="105" w:type="dxa"/>
              <w:bottom w:w="95" w:type="dxa"/>
              <w:end w:w="105" w:type="dxa"/>
            </w:tcMar>
          </w:tcPr>
          <w:p>
            <w:pPr>
              <w:widowControl w:val="0"/>
              <w:spacing w:after="0"/>
            </w:pPr>
            <w:r>
              <w:rPr>
                <w:rFonts w:ascii="Inter" w:hAnsi="Inter" w:eastAsia="Noto Sans CJK JP"/>
                <w:b/>
                <w:color w:val="FFFFFF"/>
                <w:sz w:val="18"/>
              </w:rPr>
              <w:t>Main question</w:t>
            </w:r>
          </w:p>
        </w:tc>
        <w:tc>
          <w:tcPr>
            <w:tcW w:type="dxa" w:w="5123"/>
            <w:shd w:fill="173146"/>
            <w:tcMar>
              <w:top w:w="95" w:type="dxa"/>
              <w:start w:w="105" w:type="dxa"/>
              <w:bottom w:w="95" w:type="dxa"/>
              <w:end w:w="105" w:type="dxa"/>
            </w:tcMar>
          </w:tcPr>
          <w:p>
            <w:pPr>
              <w:widowControl w:val="0"/>
              <w:spacing w:after="0"/>
            </w:pPr>
            <w:r>
              <w:rPr>
                <w:rFonts w:ascii="Inter" w:hAnsi="Inter" w:eastAsia="Noto Sans CJK JP"/>
                <w:b/>
                <w:color w:val="FFFFFF"/>
                <w:sz w:val="18"/>
              </w:rPr>
              <w:t>Required elements</w:t>
            </w:r>
          </w:p>
        </w:tc>
      </w:tr>
      <w:tr>
        <w:trPr>
          <w:cantSplit/>
        </w:trPr>
        <w:tc>
          <w:tcPr>
            <w:tcW w:type="dxa" w:w="1656"/>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Explore</w:t>
            </w:r>
          </w:p>
        </w:tc>
        <w:tc>
          <w:tcPr>
            <w:tcW w:type="dxa" w:w="305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Where can I start?</w:t>
            </w:r>
          </w:p>
        </w:tc>
        <w:tc>
          <w:tcPr>
            <w:tcW w:type="dxa" w:w="512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Colour-space map, source/tradition filters, search, seeds and rights/status labels.</w:t>
            </w:r>
          </w:p>
        </w:tc>
      </w:tr>
      <w:tr>
        <w:trPr>
          <w:cantSplit/>
        </w:trPr>
        <w:tc>
          <w:tcPr>
            <w:tcW w:type="dxa" w:w="1656"/>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Dictionary</w:t>
            </w:r>
          </w:p>
        </w:tc>
        <w:tc>
          <w:tcPr>
            <w:tcW w:type="dxa" w:w="305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What does this colour mean here?</w:t>
            </w:r>
          </w:p>
        </w:tc>
        <w:tc>
          <w:tcPr>
            <w:tcW w:type="dxa" w:w="512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Names/scripts, evidence, representations, materials, context and related combinations.</w:t>
            </w:r>
          </w:p>
        </w:tc>
      </w:tr>
      <w:tr>
        <w:trPr>
          <w:cantSplit/>
        </w:trPr>
        <w:tc>
          <w:tcPr>
            <w:tcW w:type="dxa" w:w="1656"/>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Laboratory</w:t>
            </w:r>
          </w:p>
        </w:tc>
        <w:tc>
          <w:tcPr>
            <w:tcW w:type="dxa" w:w="305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What changes when I vary this?</w:t>
            </w:r>
          </w:p>
        </w:tc>
        <w:tc>
          <w:tcPr>
            <w:tcW w:type="dxa" w:w="512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Locked variables, generator settings, experiment manifest, gallery and metrics.</w:t>
            </w:r>
          </w:p>
        </w:tc>
      </w:tr>
      <w:tr>
        <w:trPr>
          <w:cantSplit/>
        </w:trPr>
        <w:tc>
          <w:tcPr>
            <w:tcW w:type="dxa" w:w="1656"/>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Garment studio</w:t>
            </w:r>
          </w:p>
        </w:tc>
        <w:tc>
          <w:tcPr>
            <w:tcW w:type="dxa" w:w="305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How does this palette work on clothing?</w:t>
            </w:r>
          </w:p>
        </w:tc>
        <w:tc>
          <w:tcPr>
            <w:tcW w:type="dxa" w:w="512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Region mapping, layers, patterns, actual visible area and material/view settings.</w:t>
            </w:r>
          </w:p>
        </w:tc>
      </w:tr>
      <w:tr>
        <w:trPr>
          <w:cantSplit/>
        </w:trPr>
        <w:tc>
          <w:tcPr>
            <w:tcW w:type="dxa" w:w="1656"/>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Compare</w:t>
            </w:r>
          </w:p>
        </w:tc>
        <w:tc>
          <w:tcPr>
            <w:tcW w:type="dxa" w:w="305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Which version suits this brief?</w:t>
            </w:r>
          </w:p>
        </w:tc>
        <w:tc>
          <w:tcPr>
            <w:tcW w:type="dxa" w:w="512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Synchronous views, difference summary, blinded mode and controlled ratings.</w:t>
            </w:r>
          </w:p>
        </w:tc>
      </w:tr>
      <w:tr>
        <w:trPr>
          <w:cantSplit/>
        </w:trPr>
        <w:tc>
          <w:tcPr>
            <w:tcW w:type="dxa" w:w="1656"/>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Discover</w:t>
            </w:r>
          </w:p>
        </w:tc>
        <w:tc>
          <w:tcPr>
            <w:tcW w:type="dxa" w:w="305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What should I examine next?</w:t>
            </w:r>
          </w:p>
        </w:tc>
        <w:tc>
          <w:tcPr>
            <w:tcW w:type="dxa" w:w="512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Nearby and contrasting suggestions, preference summaries and uncertainty.</w:t>
            </w:r>
          </w:p>
        </w:tc>
      </w:tr>
      <w:tr>
        <w:trPr>
          <w:cantSplit/>
        </w:trPr>
        <w:tc>
          <w:tcPr>
            <w:tcW w:type="dxa" w:w="1656"/>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Learn</w:t>
            </w:r>
          </w:p>
        </w:tc>
        <w:tc>
          <w:tcPr>
            <w:tcW w:type="dxa" w:w="305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How do these relationships work?</w:t>
            </w:r>
          </w:p>
        </w:tc>
        <w:tc>
          <w:tcPr>
            <w:tcW w:type="dxa" w:w="512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Original interactive exercises, vocabulary and source-aware cultural introductions.</w:t>
            </w:r>
          </w:p>
        </w:tc>
      </w:tr>
      <w:tr>
        <w:trPr>
          <w:cantSplit/>
        </w:trPr>
        <w:tc>
          <w:tcPr>
            <w:tcW w:type="dxa" w:w="1656"/>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Library / project</w:t>
            </w:r>
          </w:p>
        </w:tc>
        <w:tc>
          <w:tcPr>
            <w:tcW w:type="dxa" w:w="305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Can I reproduce and share this?</w:t>
            </w:r>
          </w:p>
        </w:tc>
        <w:tc>
          <w:tcPr>
            <w:tcW w:type="dxa" w:w="512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Saved assets, collections, versions, exports, permissions and decision notes.</w:t>
            </w:r>
          </w:p>
        </w:tc>
      </w:tr>
    </w:tbl>
    <w:p>
      <w:pPr>
        <w:spacing w:after="0"/>
      </w:pPr>
    </w:p>
    <w:p>
      <w:pPr>
        <w:pStyle w:val="Heading2"/>
      </w:pPr>
      <w:r>
        <w:rPr>
          <w:rFonts w:ascii="Inter" w:hAnsi="Inter" w:eastAsia="Noto Sans CJK JP"/>
        </w:rPr>
        <w:t>Three first-class journeys</w:t>
      </w:r>
    </w:p>
    <w:p>
      <w:r>
        <w:rPr>
          <w:rFonts w:ascii="Inter" w:hAnsi="Inter" w:eastAsia="Noto Sans CJK JP"/>
          <w:b/>
        </w:rPr>
        <w:t>Learn through a garment:</w:t>
      </w:r>
      <w:r>
        <w:rPr>
          <w:rFonts w:ascii="Inter" w:hAnsi="Inter" w:eastAsia="Noto Sans CJK JP"/>
        </w:rPr>
        <w:t xml:space="preserve"> choose complementary → lock garment and light → vary chroma → compare → save a note. </w:t>
      </w:r>
      <w:r>
        <w:rPr>
          <w:rFonts w:ascii="Inter" w:hAnsi="Inter" w:eastAsia="Noto Sans CJK JP"/>
          <w:b/>
        </w:rPr>
        <w:t>Research a tradition:</w:t>
      </w:r>
      <w:r>
        <w:rPr>
          <w:rFonts w:ascii="Inter" w:hAnsi="Inter" w:eastAsia="Noto Sans CJK JP"/>
        </w:rPr>
        <w:t xml:space="preserve"> search a Japanese or Chinese term → inspect sources and alternatives → preserve a documented relationship → create a clearly marked adaptation. </w:t>
      </w:r>
      <w:r>
        <w:rPr>
          <w:rFonts w:ascii="Inter" w:hAnsi="Inter" w:eastAsia="Noto Sans CJK JP"/>
          <w:b/>
        </w:rPr>
        <w:t>Develop a collection:</w:t>
      </w:r>
      <w:r>
        <w:rPr>
          <w:rFonts w:ascii="Inter" w:hAnsi="Inter" w:eastAsia="Noto Sans CJK JP"/>
        </w:rPr>
        <w:t xml:space="preserve"> set a brief → generate → shortlist → test materials → export a handoff with limitations.</w:t>
      </w:r>
    </w:p>
    <w:p>
      <w:pPr>
        <w:pStyle w:val="Heading2"/>
      </w:pPr>
      <w:r>
        <w:rPr>
          <w:rFonts w:ascii="Inter" w:hAnsi="Inter" w:eastAsia="Noto Sans CJK JP"/>
        </w:rPr>
        <w:t>Interaction requirements</w:t>
      </w:r>
    </w:p>
    <w:p>
      <w:r>
        <w:rPr>
          <w:rFonts w:ascii="Inter" w:hAnsi="Inter" w:eastAsia="Noto Sans CJK JP"/>
        </w:rPr>
        <w:t>Keep source and approximation badges visible in galleries, not buried on detail pages. Let users undo mutations and compare before/after states. Preserve the exact visible candidate when a rating is saved. A filter that yields no valid results should explain the constraint conflict rather than silently returning unrelated palettes.</w:t>
      </w:r>
    </w:p>
    <w:p>
      <w:pPr>
        <w:spacing w:before="140" w:after="160"/>
        <w:ind w:left="187" w:right="144"/>
        <w:shd w:fill="EFF5F5"/>
        <w:pBdr>
          <w:left w:val="single" w:sz="18" w:color="146C70" w:space="7"/>
        </w:pBdr>
      </w:pPr>
      <w:r>
        <w:rPr>
          <w:rFonts w:ascii="Inter" w:hAnsi="Inter" w:eastAsia="Noto Sans CJK JP"/>
          <w:b/>
        </w:rPr>
        <w:t>Cross-tradition comparison</w:t>
      </w:r>
      <w:r>
        <w:rPr>
          <w:rFonts w:ascii="Inter" w:hAnsi="Inter" w:eastAsia="Noto Sans CJK JP"/>
        </w:rPr>
        <w:t xml:space="preserve">  Offer “similar perceptual structure” and “related documented meaning” as separate searches. A low numerical colour distance does not prove cultural equivalence.</w:t>
      </w:r>
    </w:p>
    <w:p>
      <w:r>
        <w:br w:type="page"/>
      </w:r>
    </w:p>
    <w:p>
      <w:pPr>
        <w:spacing w:after="120"/>
      </w:pPr>
      <w:r>
        <w:rPr>
          <w:rFonts w:ascii="Inter" w:hAnsi="Inter" w:eastAsia="Noto Sans CJK JP"/>
          <w:b/>
          <w:color w:val="146C70"/>
          <w:sz w:val="17"/>
        </w:rPr>
        <w:t>E / TECHNICAL ARCHITECTURE</w:t>
      </w:r>
    </w:p>
    <w:p>
      <w:bookmarkStart w:id="23" w:name="sec23"/>
      <w:pPr>
        <w:pStyle w:val="Heading1"/>
      </w:pPr>
      <w:r>
        <w:rPr>
          <w:rFonts w:ascii="Inter" w:hAnsi="Inter" w:eastAsia="Noto Sans CJK JP"/>
        </w:rPr>
        <w:t>21. Engines and system boundaries</w:t>
      </w:r>
      <w:bookmarkEnd w:id="23"/>
    </w:p>
    <w:p>
      <w:pPr>
        <w:spacing w:after="200"/>
      </w:pPr>
      <w:r>
        <w:rPr>
          <w:rFonts w:ascii="Inter" w:hAnsi="Inter" w:eastAsia="Noto Sans CJK JP"/>
          <w:color w:val="53626E"/>
          <w:sz w:val="21"/>
        </w:rPr>
        <w:t>The proposed architecture keeps colour calculations testable and expensive rendering optional.</w:t>
      </w:r>
    </w:p>
    <w:tbl>
      <w:tblPr>
        <w:tblW w:type="auto" w:w="0"/>
        <w:jc w:val="center"/>
        <w:tblLayout w:type="fixed"/>
        <w:tblLook w:firstColumn="1" w:firstRow="1" w:lastColumn="0" w:lastRow="0" w:noHBand="0" w:noVBand="1" w:val="04A0"/>
      </w:tblPr>
      <w:tblGrid>
        <w:gridCol w:w="2347"/>
        <w:gridCol w:w="7485"/>
      </w:tblGrid>
      <w:tr>
        <w:trPr>
          <w:tblHeader w:val="true"/>
        </w:trPr>
        <w:tc>
          <w:tcPr>
            <w:tcW w:type="dxa" w:w="2347"/>
            <w:shd w:fill="173146"/>
            <w:tcMar>
              <w:top w:w="95" w:type="dxa"/>
              <w:start w:w="105" w:type="dxa"/>
              <w:bottom w:w="95" w:type="dxa"/>
              <w:end w:w="105" w:type="dxa"/>
            </w:tcMar>
          </w:tcPr>
          <w:p>
            <w:pPr>
              <w:widowControl w:val="0"/>
              <w:spacing w:after="0"/>
            </w:pPr>
            <w:r>
              <w:rPr>
                <w:rFonts w:ascii="Inter" w:hAnsi="Inter" w:eastAsia="Noto Sans CJK JP"/>
                <w:b/>
                <w:color w:val="FFFFFF"/>
                <w:sz w:val="18"/>
              </w:rPr>
              <w:t>Component</w:t>
            </w:r>
          </w:p>
        </w:tc>
        <w:tc>
          <w:tcPr>
            <w:tcW w:type="dxa" w:w="7485"/>
            <w:shd w:fill="173146"/>
            <w:tcMar>
              <w:top w:w="95" w:type="dxa"/>
              <w:start w:w="105" w:type="dxa"/>
              <w:bottom w:w="95" w:type="dxa"/>
              <w:end w:w="105" w:type="dxa"/>
            </w:tcMar>
          </w:tcPr>
          <w:p>
            <w:pPr>
              <w:widowControl w:val="0"/>
              <w:spacing w:after="0"/>
            </w:pPr>
            <w:r>
              <w:rPr>
                <w:rFonts w:ascii="Inter" w:hAnsi="Inter" w:eastAsia="Noto Sans CJK JP"/>
                <w:b/>
                <w:color w:val="FFFFFF"/>
                <w:sz w:val="18"/>
              </w:rPr>
              <w:t>Responsibility and contract</w:t>
            </w:r>
          </w:p>
        </w:tc>
      </w:tr>
      <w:tr>
        <w:trPr>
          <w:cantSplit/>
        </w:trPr>
        <w:tc>
          <w:tcPr>
            <w:tcW w:type="dxa" w:w="2347"/>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Knowledge service</w:t>
            </w:r>
          </w:p>
        </w:tc>
        <w:tc>
          <w:tcPr>
            <w:tcW w:type="dxa" w:w="7485"/>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Versioned records, citations, translations, relationship graph, review state and rights enforcement.</w:t>
            </w:r>
          </w:p>
        </w:tc>
      </w:tr>
      <w:tr>
        <w:trPr>
          <w:cantSplit/>
        </w:trPr>
        <w:tc>
          <w:tcPr>
            <w:tcW w:type="dxa" w:w="2347"/>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Colour engine</w:t>
            </w:r>
          </w:p>
        </w:tc>
        <w:tc>
          <w:tcPr>
            <w:tcW w:type="dxa" w:w="7485"/>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Typed spaces, conversions, gamut mapping, differences, interpolation and numeric validation.</w:t>
            </w:r>
          </w:p>
        </w:tc>
      </w:tr>
      <w:tr>
        <w:trPr>
          <w:cantSplit/>
        </w:trPr>
        <w:tc>
          <w:tcPr>
            <w:tcW w:type="dxa" w:w="2347"/>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Generator / experiment service</w:t>
            </w:r>
          </w:p>
        </w:tc>
        <w:tc>
          <w:tcPr>
            <w:tcW w:type="dxa" w:w="7485"/>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Seeded candidate creation, constraints, deduplication, manifests and evaluation design.</w:t>
            </w:r>
          </w:p>
        </w:tc>
      </w:tr>
      <w:tr>
        <w:trPr>
          <w:cantSplit/>
        </w:trPr>
        <w:tc>
          <w:tcPr>
            <w:tcW w:type="dxa" w:w="2347"/>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Asset / render service</w:t>
            </w:r>
          </w:p>
        </w:tc>
        <w:tc>
          <w:tcPr>
            <w:tcW w:type="dxa" w:w="7485"/>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2D garment regions, texture and 3D assets, deterministic configuration, preview cache and render jobs.</w:t>
            </w:r>
          </w:p>
        </w:tc>
      </w:tr>
      <w:tr>
        <w:trPr>
          <w:cantSplit/>
        </w:trPr>
        <w:tc>
          <w:tcPr>
            <w:tcW w:type="dxa" w:w="2347"/>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Evaluation service</w:t>
            </w:r>
          </w:p>
        </w:tc>
        <w:tc>
          <w:tcPr>
            <w:tcW w:type="dxa" w:w="7485"/>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Ratings, comparisons, session context, descriptive statistics and optional preference models.</w:t>
            </w:r>
          </w:p>
        </w:tc>
      </w:tr>
      <w:tr>
        <w:trPr>
          <w:cantSplit/>
        </w:trPr>
        <w:tc>
          <w:tcPr>
            <w:tcW w:type="dxa" w:w="2347"/>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Application / export layer</w:t>
            </w:r>
          </w:p>
        </w:tc>
        <w:tc>
          <w:tcPr>
            <w:tcW w:type="dxa" w:w="7485"/>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Accessible UI, project library, permissions, reproducible bundles and integrations.</w:t>
            </w:r>
          </w:p>
        </w:tc>
      </w:tr>
    </w:tbl>
    <w:p>
      <w:pPr>
        <w:spacing w:after="0"/>
      </w:pPr>
    </w:p>
    <w:p>
      <w:pPr>
        <w:pStyle w:val="Heading2"/>
      </w:pPr>
      <w:r>
        <w:rPr>
          <w:rFonts w:ascii="Inter" w:hAnsi="Inter" w:eastAsia="Noto Sans CJK JP"/>
        </w:rPr>
        <w:t>Implementation candidates—not locked decisions</w:t>
      </w:r>
    </w:p>
    <w:p>
      <w:r>
        <w:rPr>
          <w:rFonts w:ascii="Inter" w:hAnsi="Inter" w:eastAsia="Noto Sans CJK JP"/>
        </w:rPr>
        <w:t xml:space="preserve">A TypeScript web client with SVG-based garment previews is the proposed starting point. Color.js documents colour spaces, gamut mapping, differences and interpolation and is a candidate for the browser engine. A Python worker using Colour is a candidate for scientific cross-checks and later spectral work. OpenColorIO is a candidate for rendering colour transforms. Validate scope and pin compatible versions before implementation. </w:t>
      </w:r>
      <w:r>
        <w:rPr>
          <w:rFonts w:ascii="Inter" w:hAnsi="Inter" w:eastAsia="Noto Sans CJK JP"/>
          <w:color w:val="146C70"/>
        </w:rPr>
        <w:t>[</w:t>
      </w:r>
      <w:hyperlink w:anchor="ref8">
        <w:r>
          <w:rPr>
            <w:rFonts w:ascii="Inter" w:hAnsi="Inter" w:eastAsia="Noto Sans CJK JP"/>
            <w:color w:val="146C70"/>
            <w:sz w:val="21"/>
            <w:u w:val="single"/>
          </w:rPr>
          <w:t>8</w:t>
        </w:r>
      </w:hyperlink>
      <w:r>
        <w:rPr>
          <w:rFonts w:ascii="Inter" w:hAnsi="Inter" w:eastAsia="Noto Sans CJK JP"/>
          <w:color w:val="146C70"/>
        </w:rPr>
        <w:t xml:space="preserve">, </w:t>
      </w:r>
      <w:hyperlink w:anchor="ref9">
        <w:r>
          <w:rPr>
            <w:rFonts w:ascii="Inter" w:hAnsi="Inter" w:eastAsia="Noto Sans CJK JP"/>
            <w:color w:val="146C70"/>
            <w:sz w:val="21"/>
            <w:u w:val="single"/>
          </w:rPr>
          <w:t>9</w:t>
        </w:r>
      </w:hyperlink>
      <w:r>
        <w:rPr>
          <w:rFonts w:ascii="Inter" w:hAnsi="Inter" w:eastAsia="Noto Sans CJK JP"/>
          <w:color w:val="146C70"/>
        </w:rPr>
        <w:t xml:space="preserve">, </w:t>
      </w:r>
      <w:hyperlink w:anchor="ref10">
        <w:r>
          <w:rPr>
            <w:rFonts w:ascii="Inter" w:hAnsi="Inter" w:eastAsia="Noto Sans CJK JP"/>
            <w:color w:val="146C70"/>
            <w:sz w:val="21"/>
            <w:u w:val="single"/>
          </w:rPr>
          <w:t>10</w:t>
        </w:r>
      </w:hyperlink>
      <w:r>
        <w:rPr>
          <w:rFonts w:ascii="Inter" w:hAnsi="Inter" w:eastAsia="Noto Sans CJK JP"/>
          <w:color w:val="146C70"/>
        </w:rPr>
        <w:t xml:space="preserve">, </w:t>
      </w:r>
      <w:hyperlink w:anchor="ref11">
        <w:r>
          <w:rPr>
            <w:rFonts w:ascii="Inter" w:hAnsi="Inter" w:eastAsia="Noto Sans CJK JP"/>
            <w:color w:val="146C70"/>
            <w:sz w:val="21"/>
            <w:u w:val="single"/>
          </w:rPr>
          <w:t>11</w:t>
        </w:r>
      </w:hyperlink>
      <w:r>
        <w:rPr>
          <w:rFonts w:ascii="Inter" w:hAnsi="Inter" w:eastAsia="Noto Sans CJK JP"/>
          <w:color w:val="146C70"/>
        </w:rPr>
        <w:t xml:space="preserve">, </w:t>
      </w:r>
      <w:hyperlink w:anchor="ref14">
        <w:r>
          <w:rPr>
            <w:rFonts w:ascii="Inter" w:hAnsi="Inter" w:eastAsia="Noto Sans CJK JP"/>
            <w:color w:val="146C70"/>
            <w:sz w:val="21"/>
            <w:u w:val="single"/>
          </w:rPr>
          <w:t>14</w:t>
        </w:r>
      </w:hyperlink>
      <w:r>
        <w:rPr>
          <w:rFonts w:ascii="Inter" w:hAnsi="Inter" w:eastAsia="Noto Sans CJK JP"/>
          <w:color w:val="146C70"/>
        </w:rPr>
        <w:t xml:space="preserve">, </w:t>
      </w:r>
      <w:hyperlink w:anchor="ref31">
        <w:r>
          <w:rPr>
            <w:rFonts w:ascii="Inter" w:hAnsi="Inter" w:eastAsia="Noto Sans CJK JP"/>
            <w:color w:val="146C70"/>
            <w:sz w:val="21"/>
            <w:u w:val="single"/>
          </w:rPr>
          <w:t>31</w:t>
        </w:r>
      </w:hyperlink>
      <w:r>
        <w:rPr>
          <w:rFonts w:ascii="Inter" w:hAnsi="Inter" w:eastAsia="Noto Sans CJK JP"/>
          <w:color w:val="146C70"/>
        </w:rPr>
        <w:t xml:space="preserve">, </w:t>
      </w:r>
      <w:hyperlink w:anchor="ref32">
        <w:r>
          <w:rPr>
            <w:rFonts w:ascii="Inter" w:hAnsi="Inter" w:eastAsia="Noto Sans CJK JP"/>
            <w:color w:val="146C70"/>
            <w:sz w:val="21"/>
            <w:u w:val="single"/>
          </w:rPr>
          <w:t>32</w:t>
        </w:r>
      </w:hyperlink>
      <w:r>
        <w:rPr>
          <w:rFonts w:ascii="Inter" w:hAnsi="Inter" w:eastAsia="Noto Sans CJK JP"/>
          <w:color w:val="146C70"/>
        </w:rPr>
        <w:t>]</w:t>
      </w:r>
    </w:p>
    <w:p>
      <w:pPr>
        <w:pStyle w:val="Heading2"/>
      </w:pPr>
      <w:r>
        <w:rPr>
          <w:rFonts w:ascii="Inter" w:hAnsi="Inter" w:eastAsia="Noto Sans CJK JP"/>
        </w:rPr>
        <w:t>Storage and jobs</w:t>
      </w:r>
    </w:p>
    <w:p>
      <w:r>
        <w:rPr>
          <w:rFonts w:ascii="Inter" w:hAnsi="Inter" w:eastAsia="Noto Sans CJK JP"/>
        </w:rPr>
        <w:t>Use a relational database for structured records and permissions, with explicit relationship tables; a dedicated graph database is not a first-release requirement. Keep original assets in object storage and reproducible metadata in versioned manifests. Queue expensive operations with cancellation, retries, progress reporting and idempotent job keys.</w:t>
      </w:r>
    </w:p>
    <w:p>
      <w:pPr>
        <w:pStyle w:val="Heading2"/>
      </w:pPr>
      <w:r>
        <w:rPr>
          <w:rFonts w:ascii="Inter" w:hAnsi="Inter" w:eastAsia="Noto Sans CJK JP"/>
        </w:rPr>
        <w:t>Interchange before deep integration</w:t>
      </w:r>
    </w:p>
    <w:p>
      <w:r>
        <w:rPr>
          <w:rFonts w:ascii="Inter" w:hAnsi="Inter" w:eastAsia="Noto Sans CJK JP"/>
        </w:rPr>
        <w:t>Begin with portable palette/project exports and supported asset formats. Prototype garment-tool bridges separately. Do not assume that a tool’s ability to render clothing means it exposes the API, automation permission or consistent colour pipeline needed by this app.</w:t>
      </w:r>
    </w:p>
    <w:p>
      <w:pPr>
        <w:spacing w:before="140" w:after="160"/>
        <w:ind w:left="187" w:right="144"/>
        <w:shd w:fill="EFF5F5"/>
        <w:pBdr>
          <w:left w:val="single" w:sz="18" w:color="146C70" w:space="7"/>
        </w:pBdr>
      </w:pPr>
      <w:r>
        <w:rPr>
          <w:rFonts w:ascii="Inter" w:hAnsi="Inter" w:eastAsia="Noto Sans CJK JP"/>
          <w:b/>
        </w:rPr>
        <w:t>Architecture rule</w:t>
      </w:r>
      <w:r>
        <w:rPr>
          <w:rFonts w:ascii="Inter" w:hAnsi="Inter" w:eastAsia="Noto Sans CJK JP"/>
        </w:rPr>
        <w:t xml:space="preserve">  Knowledge, colour coordinates, garment appearance and personal ratings remain separable. A changed translation should not force a re-render; a changed render transform should not rewrite the historical record.</w:t>
      </w:r>
    </w:p>
    <w:p>
      <w:r>
        <w:br w:type="page"/>
      </w:r>
    </w:p>
    <w:p>
      <w:pPr>
        <w:spacing w:after="120"/>
      </w:pPr>
      <w:r>
        <w:rPr>
          <w:rFonts w:ascii="Inter" w:hAnsi="Inter" w:eastAsia="Noto Sans CJK JP"/>
          <w:b/>
          <w:color w:val="146C70"/>
          <w:sz w:val="17"/>
        </w:rPr>
        <w:t>E / REPRODUCIBILITY</w:t>
      </w:r>
    </w:p>
    <w:p>
      <w:bookmarkStart w:id="24" w:name="sec24"/>
      <w:pPr>
        <w:pStyle w:val="Heading1"/>
      </w:pPr>
      <w:r>
        <w:rPr>
          <w:rFonts w:ascii="Inter" w:hAnsi="Inter" w:eastAsia="Noto Sans CJK JP"/>
        </w:rPr>
        <w:t>22. The experiment record</w:t>
      </w:r>
      <w:bookmarkEnd w:id="24"/>
    </w:p>
    <w:p>
      <w:pPr>
        <w:spacing w:after="200"/>
      </w:pPr>
      <w:r>
        <w:rPr>
          <w:rFonts w:ascii="Inter" w:hAnsi="Inter" w:eastAsia="Noto Sans CJK JP"/>
          <w:color w:val="53626E"/>
          <w:sz w:val="21"/>
        </w:rPr>
        <w:t>A saved image is evidence of an output; it is not enough to regenerate the experiment.</w:t>
      </w:r>
    </w:p>
    <w:tbl>
      <w:tblPr>
        <w:tblW w:type="auto" w:w="0"/>
        <w:jc w:val="center"/>
        <w:tblLayout w:type="fixed"/>
        <w:tblLook w:firstColumn="1" w:firstRow="1" w:lastColumn="0" w:lastRow="0" w:noHBand="0" w:noVBand="1" w:val="04A0"/>
      </w:tblPr>
      <w:tblGrid>
        <w:gridCol w:w="2016"/>
        <w:gridCol w:w="7816"/>
      </w:tblGrid>
      <w:tr>
        <w:trPr>
          <w:tblHeader w:val="true"/>
        </w:trPr>
        <w:tc>
          <w:tcPr>
            <w:tcW w:type="dxa" w:w="2016"/>
            <w:shd w:fill="173146"/>
            <w:tcMar>
              <w:top w:w="95" w:type="dxa"/>
              <w:start w:w="105" w:type="dxa"/>
              <w:bottom w:w="95" w:type="dxa"/>
              <w:end w:w="105" w:type="dxa"/>
            </w:tcMar>
          </w:tcPr>
          <w:p>
            <w:pPr>
              <w:widowControl w:val="0"/>
              <w:spacing w:after="0"/>
            </w:pPr>
            <w:r>
              <w:rPr>
                <w:rFonts w:ascii="Inter" w:hAnsi="Inter" w:eastAsia="Noto Sans CJK JP"/>
                <w:b/>
                <w:color w:val="FFFFFF"/>
                <w:sz w:val="18"/>
              </w:rPr>
              <w:t>Record group</w:t>
            </w:r>
          </w:p>
        </w:tc>
        <w:tc>
          <w:tcPr>
            <w:tcW w:type="dxa" w:w="7816"/>
            <w:shd w:fill="173146"/>
            <w:tcMar>
              <w:top w:w="95" w:type="dxa"/>
              <w:start w:w="105" w:type="dxa"/>
              <w:bottom w:w="95" w:type="dxa"/>
              <w:end w:w="105" w:type="dxa"/>
            </w:tcMar>
          </w:tcPr>
          <w:p>
            <w:pPr>
              <w:widowControl w:val="0"/>
              <w:spacing w:after="0"/>
            </w:pPr>
            <w:r>
              <w:rPr>
                <w:rFonts w:ascii="Inter" w:hAnsi="Inter" w:eastAsia="Noto Sans CJK JP"/>
                <w:b/>
                <w:color w:val="FFFFFF"/>
                <w:sz w:val="18"/>
              </w:rPr>
              <w:t>Required fields</w:t>
            </w:r>
          </w:p>
        </w:tc>
      </w:tr>
      <w:tr>
        <w:trPr>
          <w:cantSplit/>
        </w:trPr>
        <w:tc>
          <w:tcPr>
            <w:tcW w:type="dxa" w:w="2016"/>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Identity</w:t>
            </w:r>
          </w:p>
        </w:tc>
        <w:tc>
          <w:tcPr>
            <w:tcW w:type="dxa" w:w="7816"/>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Experiment ID, schema version, project, creator, timestamps and parent experiment IDs.</w:t>
            </w:r>
          </w:p>
        </w:tc>
      </w:tr>
      <w:tr>
        <w:trPr>
          <w:cantSplit/>
        </w:trPr>
        <w:tc>
          <w:tcPr>
            <w:tcW w:type="dxa" w:w="2016"/>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Inputs and sources</w:t>
            </w:r>
          </w:p>
        </w:tc>
        <w:tc>
          <w:tcPr>
            <w:tcW w:type="dxa" w:w="7816"/>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Dataset versions, source-record IDs, asset hashes, original colour representations and rights snapshot.</w:t>
            </w:r>
          </w:p>
        </w:tc>
      </w:tr>
      <w:tr>
        <w:trPr>
          <w:cantSplit/>
        </w:trPr>
        <w:tc>
          <w:tcPr>
            <w:tcW w:type="dxa" w:w="2016"/>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Generation</w:t>
            </w:r>
          </w:p>
        </w:tc>
        <w:tc>
          <w:tcPr>
            <w:tcW w:type="dxa" w:w="7816"/>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Engine version, seed, rules, bounds, locked values, rejection policy and candidate IDs.</w:t>
            </w:r>
          </w:p>
        </w:tc>
      </w:tr>
      <w:tr>
        <w:trPr>
          <w:cantSplit/>
        </w:trPr>
        <w:tc>
          <w:tcPr>
            <w:tcW w:type="dxa" w:w="2016"/>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Appearance</w:t>
            </w:r>
          </w:p>
        </w:tc>
        <w:tc>
          <w:tcPr>
            <w:tcW w:type="dxa" w:w="7816"/>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Garment/region versions, role mapping, layer order, material, camera, light, exposure and background.</w:t>
            </w:r>
          </w:p>
        </w:tc>
      </w:tr>
      <w:tr>
        <w:trPr>
          <w:cantSplit/>
        </w:trPr>
        <w:tc>
          <w:tcPr>
            <w:tcW w:type="dxa" w:w="2016"/>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Colour pipeline</w:t>
            </w:r>
          </w:p>
        </w:tc>
        <w:tc>
          <w:tcPr>
            <w:tcW w:type="dxa" w:w="7816"/>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Input/working/output spaces, relevant white points, profiles, adaptation and gamut-mapping methods.</w:t>
            </w:r>
          </w:p>
        </w:tc>
      </w:tr>
      <w:tr>
        <w:trPr>
          <w:cantSplit/>
        </w:trPr>
        <w:tc>
          <w:tcPr>
            <w:tcW w:type="dxa" w:w="2016"/>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Analysis</w:t>
            </w:r>
          </w:p>
        </w:tc>
        <w:tc>
          <w:tcPr>
            <w:tcW w:type="dxa" w:w="7816"/>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Metric names and versions, feature values, thresholds, visible-area calculation and warnings.</w:t>
            </w:r>
          </w:p>
        </w:tc>
      </w:tr>
      <w:tr>
        <w:trPr>
          <w:cantSplit/>
        </w:trPr>
        <w:tc>
          <w:tcPr>
            <w:tcW w:type="dxa" w:w="2016"/>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Evaluation</w:t>
            </w:r>
          </w:p>
        </w:tc>
        <w:tc>
          <w:tcPr>
            <w:tcW w:type="dxa" w:w="7816"/>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Question, criterion, presentation order, session, response, user consent and model version if used.</w:t>
            </w:r>
          </w:p>
        </w:tc>
      </w:tr>
      <w:tr>
        <w:trPr>
          <w:cantSplit/>
        </w:trPr>
        <w:tc>
          <w:tcPr>
            <w:tcW w:type="dxa" w:w="2016"/>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Outputs</w:t>
            </w:r>
          </w:p>
        </w:tc>
        <w:tc>
          <w:tcPr>
            <w:tcW w:type="dxa" w:w="7816"/>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Preview/render hashes, export files, cache keys, status, error log and reproducibility limitations.</w:t>
            </w:r>
          </w:p>
        </w:tc>
      </w:tr>
    </w:tbl>
    <w:p>
      <w:pPr>
        <w:spacing w:after="0"/>
      </w:pPr>
    </w:p>
    <w:p>
      <w:pPr>
        <w:pStyle w:val="Heading2"/>
      </w:pPr>
      <w:r>
        <w:rPr>
          <w:rFonts w:ascii="Inter" w:hAnsi="Inter" w:eastAsia="Noto Sans CJK JP"/>
        </w:rPr>
        <w:t>Illustrative manifest fragment</w:t>
      </w:r>
    </w:p>
    <w:p>
      <w:pPr>
        <w:spacing w:after="140" w:line="240" w:lineRule="auto"/>
        <w:shd w:fill="F1F4F6"/>
      </w:pPr>
      <w:r>
        <w:rPr>
          <w:rFonts w:ascii="DejaVu Sans Mono" w:hAnsi="DejaVu Sans Mono"/>
          <w:sz w:val="16"/>
        </w:rPr>
        <w:t>schema_version: 1</w:t>
        <w:br/>
        <w:t>experiment_id: example-jacket-0001</w:t>
        <w:br/>
        <w:t>status: illustrative-not-executed</w:t>
        <w:br/>
        <w:t>working_space: oklch</w:t>
        <w:br/>
        <w:t>output_space: srgb</w:t>
        <w:br/>
        <w:t>generator: {name: structured-sweep, version: prototype-1, seed: 4027}</w:t>
        <w:br/>
        <w:t>garment: {asset: original-jacket-v1, region_map: fixed-front-v1}</w:t>
        <w:br/>
        <w:t>colour_roles: [body, sleeves, accent]</w:t>
        <w:br/>
        <w:t>source_records: []  # No historical attribution in this example.</w:t>
        <w:br/>
        <w:t>view: {mode: flat-2d, background: neutral, fixed: true}</w:t>
        <w:br/>
        <w:t>evaluation: {criterion: fits-project-brief, mode: pairwise}</w:t>
      </w:r>
    </w:p>
    <w:p>
      <w:pPr>
        <w:spacing w:before="140" w:after="160"/>
        <w:ind w:left="187" w:right="144"/>
        <w:shd w:fill="EFF5F5"/>
        <w:pBdr>
          <w:left w:val="single" w:sz="18" w:color="146C70" w:space="7"/>
        </w:pBdr>
      </w:pPr>
      <w:r>
        <w:rPr>
          <w:rFonts w:ascii="Inter" w:hAnsi="Inter" w:eastAsia="Noto Sans CJK JP"/>
          <w:b/>
        </w:rPr>
        <w:t>Scope of this example</w:t>
      </w:r>
      <w:r>
        <w:rPr>
          <w:rFonts w:ascii="Inter" w:hAnsi="Inter" w:eastAsia="Noto Sans CJK JP"/>
        </w:rPr>
        <w:t xml:space="preserve">  This fragment is intentionally incomplete. The full record must include actual colour coordinates, mapping policy, asset hashes and all other fields needed by the selected workflow. IDs here are examples, not existing assets.</w:t>
      </w:r>
    </w:p>
    <w:p>
      <w:r>
        <w:br w:type="page"/>
      </w:r>
    </w:p>
    <w:p>
      <w:pPr>
        <w:spacing w:after="120"/>
      </w:pPr>
      <w:r>
        <w:rPr>
          <w:rFonts w:ascii="Inter" w:hAnsi="Inter" w:eastAsia="Noto Sans CJK JP"/>
          <w:b/>
          <w:color w:val="146C70"/>
          <w:sz w:val="17"/>
        </w:rPr>
        <w:t>E / QUALITY, TRUST AND VALIDATION</w:t>
      </w:r>
    </w:p>
    <w:p>
      <w:bookmarkStart w:id="25" w:name="sec25"/>
      <w:pPr>
        <w:pStyle w:val="Heading1"/>
      </w:pPr>
      <w:r>
        <w:rPr>
          <w:rFonts w:ascii="Inter" w:hAnsi="Inter" w:eastAsia="Noto Sans CJK JP"/>
        </w:rPr>
        <w:t>23. What must be tested before release</w:t>
      </w:r>
      <w:bookmarkEnd w:id="25"/>
    </w:p>
    <w:p>
      <w:pPr>
        <w:spacing w:after="200"/>
      </w:pPr>
      <w:r>
        <w:rPr>
          <w:rFonts w:ascii="Inter" w:hAnsi="Inter" w:eastAsia="Noto Sans CJK JP"/>
          <w:color w:val="53626E"/>
          <w:sz w:val="21"/>
        </w:rPr>
        <w:t>Scientific correctness, historical accuracy and usability are different test programmes.</w:t>
      </w:r>
    </w:p>
    <w:tbl>
      <w:tblPr>
        <w:tblW w:type="auto" w:w="0"/>
        <w:jc w:val="center"/>
        <w:tblLayout w:type="fixed"/>
        <w:tblLook w:firstColumn="1" w:firstRow="1" w:lastColumn="0" w:lastRow="0" w:noHBand="0" w:noVBand="1" w:val="04A0"/>
      </w:tblPr>
      <w:tblGrid>
        <w:gridCol w:w="2088"/>
        <w:gridCol w:w="7744"/>
      </w:tblGrid>
      <w:tr>
        <w:trPr>
          <w:tblHeader w:val="true"/>
        </w:trPr>
        <w:tc>
          <w:tcPr>
            <w:tcW w:type="dxa" w:w="2088"/>
            <w:shd w:fill="173146"/>
            <w:tcMar>
              <w:top w:w="95" w:type="dxa"/>
              <w:start w:w="105" w:type="dxa"/>
              <w:bottom w:w="95" w:type="dxa"/>
              <w:end w:w="105" w:type="dxa"/>
            </w:tcMar>
          </w:tcPr>
          <w:p>
            <w:pPr>
              <w:widowControl w:val="0"/>
              <w:spacing w:after="0"/>
            </w:pPr>
            <w:r>
              <w:rPr>
                <w:rFonts w:ascii="Inter" w:hAnsi="Inter" w:eastAsia="Noto Sans CJK JP"/>
                <w:b/>
                <w:color w:val="FFFFFF"/>
                <w:sz w:val="18"/>
              </w:rPr>
              <w:t>Test area</w:t>
            </w:r>
          </w:p>
        </w:tc>
        <w:tc>
          <w:tcPr>
            <w:tcW w:type="dxa" w:w="7744"/>
            <w:shd w:fill="173146"/>
            <w:tcMar>
              <w:top w:w="95" w:type="dxa"/>
              <w:start w:w="105" w:type="dxa"/>
              <w:bottom w:w="95" w:type="dxa"/>
              <w:end w:w="105" w:type="dxa"/>
            </w:tcMar>
          </w:tcPr>
          <w:p>
            <w:pPr>
              <w:widowControl w:val="0"/>
              <w:spacing w:after="0"/>
            </w:pPr>
            <w:r>
              <w:rPr>
                <w:rFonts w:ascii="Inter" w:hAnsi="Inter" w:eastAsia="Noto Sans CJK JP"/>
                <w:b/>
                <w:color w:val="FFFFFF"/>
                <w:sz w:val="18"/>
              </w:rPr>
              <w:t>Acceptance evidence</w:t>
            </w:r>
          </w:p>
        </w:tc>
      </w:tr>
      <w:tr>
        <w:trPr>
          <w:cantSplit/>
        </w:trPr>
        <w:tc>
          <w:tcPr>
            <w:tcW w:type="dxa" w:w="2088"/>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Colour calculations</w:t>
            </w:r>
          </w:p>
        </w:tc>
        <w:tc>
          <w:tcPr>
            <w:tcW w:type="dxa" w:w="7744"/>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Reference vectors, round-trip tolerances, boundary values, achromatic hue handling and independent cross-checks.</w:t>
            </w:r>
          </w:p>
        </w:tc>
      </w:tr>
      <w:tr>
        <w:trPr>
          <w:cantSplit/>
        </w:trPr>
        <w:tc>
          <w:tcPr>
            <w:tcW w:type="dxa" w:w="2088"/>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Gamut / profiles</w:t>
            </w:r>
          </w:p>
        </w:tc>
        <w:tc>
          <w:tcPr>
            <w:tcW w:type="dxa" w:w="7744"/>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Out-of-gamut fixtures, declared mapping behaviour, preserved source values and explicit unknown-profile handling.</w:t>
            </w:r>
          </w:p>
        </w:tc>
      </w:tr>
      <w:tr>
        <w:trPr>
          <w:cantSplit/>
        </w:trPr>
        <w:tc>
          <w:tcPr>
            <w:tcW w:type="dxa" w:w="2088"/>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Garment rendering</w:t>
            </w:r>
          </w:p>
        </w:tc>
        <w:tc>
          <w:tcPr>
            <w:tcW w:type="dxa" w:w="7744"/>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Stable region IDs, no recolouring of unrelated areas, reproducible settings and verified area calculations.</w:t>
            </w:r>
          </w:p>
        </w:tc>
      </w:tr>
      <w:tr>
        <w:trPr>
          <w:cantSplit/>
        </w:trPr>
        <w:tc>
          <w:tcPr>
            <w:tcW w:type="dxa" w:w="2088"/>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Knowledge records</w:t>
            </w:r>
          </w:p>
        </w:tc>
        <w:tc>
          <w:tcPr>
            <w:tcW w:type="dxa" w:w="7744"/>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Valid source locators, script/transliteration checks, review status, rights fields and no fabricated representations.</w:t>
            </w:r>
          </w:p>
        </w:tc>
      </w:tr>
      <w:tr>
        <w:trPr>
          <w:cantSplit/>
        </w:trPr>
        <w:tc>
          <w:tcPr>
            <w:tcW w:type="dxa" w:w="2088"/>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Experiment integrity</w:t>
            </w:r>
          </w:p>
        </w:tc>
        <w:tc>
          <w:tcPr>
            <w:tcW w:type="dxa" w:w="7744"/>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Same seed/configuration reproduces candidate values within the declared tolerance; ratings point to the exact viewed variant.</w:t>
            </w:r>
          </w:p>
        </w:tc>
      </w:tr>
      <w:tr>
        <w:trPr>
          <w:cantSplit/>
        </w:trPr>
        <w:tc>
          <w:tcPr>
            <w:tcW w:type="dxa" w:w="2088"/>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Preference analysis</w:t>
            </w:r>
          </w:p>
        </w:tc>
        <w:tc>
          <w:tcPr>
            <w:tcW w:type="dxa" w:w="7744"/>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Held-out evaluation, near-duplicate leakage checks, uncertainty and no universal-beauty claims.</w:t>
            </w:r>
          </w:p>
        </w:tc>
      </w:tr>
      <w:tr>
        <w:trPr>
          <w:cantSplit/>
        </w:trPr>
        <w:tc>
          <w:tcPr>
            <w:tcW w:type="dxa" w:w="2088"/>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Access and performance</w:t>
            </w:r>
          </w:p>
        </w:tc>
        <w:tc>
          <w:tcPr>
            <w:tcW w:type="dxa" w:w="7744"/>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Keyboard and screen-reader tests, contrast checks, large-gallery behaviour, bounded jobs and cancellation.</w:t>
            </w:r>
          </w:p>
        </w:tc>
      </w:tr>
      <w:tr>
        <w:trPr>
          <w:cantSplit/>
        </w:trPr>
        <w:tc>
          <w:tcPr>
            <w:tcW w:type="dxa" w:w="2088"/>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Privacy and security</w:t>
            </w:r>
          </w:p>
        </w:tc>
        <w:tc>
          <w:tcPr>
            <w:tcW w:type="dxa" w:w="7744"/>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Access-control tests, deletion/export flows, secure asset handling and audit of sharing and training consent.</w:t>
            </w:r>
          </w:p>
        </w:tc>
      </w:tr>
    </w:tbl>
    <w:p>
      <w:pPr>
        <w:spacing w:after="0"/>
      </w:pPr>
    </w:p>
    <w:p>
      <w:pPr>
        <w:pStyle w:val="Heading2"/>
      </w:pPr>
      <w:r>
        <w:rPr>
          <w:rFonts w:ascii="Inter" w:hAnsi="Inter" w:eastAsia="Noto Sans CJK JP"/>
        </w:rPr>
        <w:t>Performance targets should follow measurement</w:t>
      </w:r>
    </w:p>
    <w:p>
      <w:r>
        <w:rPr>
          <w:rFonts w:ascii="Inter" w:hAnsi="Inter" w:eastAsia="Noto Sans CJK JP"/>
        </w:rPr>
        <w:t>Benchmark candidate generation, feature computation, thumbnail creation, initial gallery load and high-quality rendering separately. Record the dataset, device, browser and rendering settings used. Do not publish one impressive “palettes per second” number that conceals image generation or interaction latency.</w:t>
      </w:r>
    </w:p>
    <w:p>
      <w:pPr>
        <w:pStyle w:val="Heading2"/>
      </w:pPr>
      <w:r>
        <w:rPr>
          <w:rFonts w:ascii="Inter" w:hAnsi="Inter" w:eastAsia="Noto Sans CJK JP"/>
        </w:rPr>
        <w:t>Reproducibility has levels</w:t>
      </w:r>
    </w:p>
    <w:p>
      <w:r>
        <w:rPr>
          <w:rFonts w:ascii="Inter" w:hAnsi="Inter" w:eastAsia="Noto Sans CJK JP"/>
        </w:rPr>
        <w:t>Candidate-coordinate reproducibility can be tested directly. Pixel-identical rendering may depend on engine version, hardware and settings. Specify the guarantee for each mode, record the environment and preserve rendered outputs where exact replay cannot be promised.</w:t>
      </w:r>
    </w:p>
    <w:p>
      <w:pPr>
        <w:pStyle w:val="Heading2"/>
      </w:pPr>
      <w:r>
        <w:rPr>
          <w:rFonts w:ascii="Inter" w:hAnsi="Inter" w:eastAsia="Noto Sans CJK JP"/>
        </w:rPr>
        <w:t>Release confidence labels</w:t>
      </w:r>
    </w:p>
    <w:p>
      <w:r>
        <w:rPr>
          <w:rFonts w:ascii="Inter" w:hAnsi="Inter" w:eastAsia="Noto Sans CJK JP"/>
        </w:rPr>
        <w:t>Use labels such as source-verified, display approximation, exploratory render and measured sample. Explain what each label verifies. None should imply historical completeness, universal aesthetic validity or manufacturer certification.</w:t>
      </w:r>
    </w:p>
    <w:p>
      <w:pPr>
        <w:spacing w:before="140" w:after="160"/>
        <w:ind w:left="187" w:right="144"/>
        <w:shd w:fill="EFF5F5"/>
        <w:pBdr>
          <w:left w:val="single" w:sz="18" w:color="146C70" w:space="7"/>
        </w:pBdr>
      </w:pPr>
      <w:r>
        <w:rPr>
          <w:rFonts w:ascii="Inter" w:hAnsi="Inter" w:eastAsia="Noto Sans CJK JP"/>
          <w:b/>
        </w:rPr>
        <w:t>Fail visibly</w:t>
      </w:r>
      <w:r>
        <w:rPr>
          <w:rFonts w:ascii="Inter" w:hAnsi="Inter" w:eastAsia="Noto Sans CJK JP"/>
        </w:rPr>
        <w:t xml:space="preserve">  Missing sources, failed conversions, unsupported material effects and unavailable rights are reasons to warn or stop—not opportunities to silently invent a fallback that looks authoritative.</w:t>
      </w:r>
    </w:p>
    <w:p>
      <w:r>
        <w:br w:type="page"/>
      </w:r>
    </w:p>
    <w:p>
      <w:pPr>
        <w:spacing w:after="120"/>
      </w:pPr>
      <w:r>
        <w:rPr>
          <w:rFonts w:ascii="Inter" w:hAnsi="Inter" w:eastAsia="Noto Sans CJK JP"/>
          <w:b/>
          <w:color w:val="146C70"/>
          <w:sz w:val="17"/>
        </w:rPr>
        <w:t>E / DELIVERY PLAN</w:t>
      </w:r>
    </w:p>
    <w:p>
      <w:bookmarkStart w:id="26" w:name="sec26"/>
      <w:pPr>
        <w:pStyle w:val="Heading1"/>
      </w:pPr>
      <w:r>
        <w:rPr>
          <w:rFonts w:ascii="Inter" w:hAnsi="Inter" w:eastAsia="Noto Sans CJK JP"/>
        </w:rPr>
        <w:t>24. Roadmap and acceptance gates</w:t>
      </w:r>
      <w:bookmarkEnd w:id="26"/>
    </w:p>
    <w:p>
      <w:pPr>
        <w:spacing w:after="200"/>
      </w:pPr>
      <w:r>
        <w:rPr>
          <w:rFonts w:ascii="Inter" w:hAnsi="Inter" w:eastAsia="Noto Sans CJK JP"/>
          <w:color w:val="53626E"/>
          <w:sz w:val="21"/>
        </w:rPr>
        <w:t>Build the entire learning loop narrowly before expanding the number of traditions, assets and render modes.</w:t>
      </w:r>
    </w:p>
    <w:tbl>
      <w:tblPr>
        <w:tblW w:type="auto" w:w="0"/>
        <w:jc w:val="center"/>
        <w:tblLayout w:type="fixed"/>
        <w:tblLook w:firstColumn="1" w:firstRow="1" w:lastColumn="0" w:lastRow="0" w:noHBand="0" w:noVBand="1" w:val="04A0"/>
      </w:tblPr>
      <w:tblGrid>
        <w:gridCol w:w="1512"/>
        <w:gridCol w:w="4075"/>
        <w:gridCol w:w="4245"/>
      </w:tblGrid>
      <w:tr>
        <w:trPr>
          <w:tblHeader w:val="true"/>
        </w:trPr>
        <w:tc>
          <w:tcPr>
            <w:tcW w:type="dxa" w:w="1512"/>
            <w:shd w:fill="173146"/>
            <w:tcMar>
              <w:top w:w="95" w:type="dxa"/>
              <w:start w:w="105" w:type="dxa"/>
              <w:bottom w:w="95" w:type="dxa"/>
              <w:end w:w="105" w:type="dxa"/>
            </w:tcMar>
          </w:tcPr>
          <w:p>
            <w:pPr>
              <w:widowControl w:val="0"/>
              <w:spacing w:after="0"/>
            </w:pPr>
            <w:r>
              <w:rPr>
                <w:rFonts w:ascii="Inter" w:hAnsi="Inter" w:eastAsia="Noto Sans CJK JP"/>
                <w:b/>
                <w:color w:val="FFFFFF"/>
                <w:sz w:val="18"/>
              </w:rPr>
              <w:t>Stage</w:t>
            </w:r>
          </w:p>
        </w:tc>
        <w:tc>
          <w:tcPr>
            <w:tcW w:type="dxa" w:w="4075"/>
            <w:shd w:fill="173146"/>
            <w:tcMar>
              <w:top w:w="95" w:type="dxa"/>
              <w:start w:w="105" w:type="dxa"/>
              <w:bottom w:w="95" w:type="dxa"/>
              <w:end w:w="105" w:type="dxa"/>
            </w:tcMar>
          </w:tcPr>
          <w:p>
            <w:pPr>
              <w:widowControl w:val="0"/>
              <w:spacing w:after="0"/>
            </w:pPr>
            <w:r>
              <w:rPr>
                <w:rFonts w:ascii="Inter" w:hAnsi="Inter" w:eastAsia="Noto Sans CJK JP"/>
                <w:b/>
                <w:color w:val="FFFFFF"/>
                <w:sz w:val="18"/>
              </w:rPr>
              <w:t>Scope</w:t>
            </w:r>
          </w:p>
        </w:tc>
        <w:tc>
          <w:tcPr>
            <w:tcW w:type="dxa" w:w="4245"/>
            <w:shd w:fill="173146"/>
            <w:tcMar>
              <w:top w:w="95" w:type="dxa"/>
              <w:start w:w="105" w:type="dxa"/>
              <w:bottom w:w="95" w:type="dxa"/>
              <w:end w:w="105" w:type="dxa"/>
            </w:tcMar>
          </w:tcPr>
          <w:p>
            <w:pPr>
              <w:widowControl w:val="0"/>
              <w:spacing w:after="0"/>
            </w:pPr>
            <w:r>
              <w:rPr>
                <w:rFonts w:ascii="Inter" w:hAnsi="Inter" w:eastAsia="Noto Sans CJK JP"/>
                <w:b/>
                <w:color w:val="FFFFFF"/>
                <w:sz w:val="18"/>
              </w:rPr>
              <w:t>Exit gate</w:t>
            </w:r>
          </w:p>
        </w:tc>
      </w:tr>
      <w:tr>
        <w:trPr>
          <w:cantSplit/>
        </w:trPr>
        <w:tc>
          <w:tcPr>
            <w:tcW w:type="dxa" w:w="1512"/>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0 · Foundations</w:t>
            </w:r>
          </w:p>
        </w:tc>
        <w:tc>
          <w:tcPr>
            <w:tcW w:type="dxa" w:w="4075"/>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Finalise schema, colour-engine tests, original garment and source/rights manifest.</w:t>
            </w:r>
          </w:p>
        </w:tc>
        <w:tc>
          <w:tcPr>
            <w:tcW w:type="dxa" w:w="4245"/>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One reproducible experiment; a reviewed sample from both Japanese and Chinese sources.</w:t>
            </w:r>
          </w:p>
        </w:tc>
      </w:tr>
      <w:tr>
        <w:trPr>
          <w:cantSplit/>
        </w:trPr>
        <w:tc>
          <w:tcPr>
            <w:tcW w:type="dxa" w:w="1512"/>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1 · Initial laboratory</w:t>
            </w:r>
          </w:p>
        </w:tc>
        <w:tc>
          <w:tcPr>
            <w:tcW w:type="dxa" w:w="4075"/>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Dictionary, Learn, seeded generation, fixed 2D garment, filters, Compare, ratings and project export.</w:t>
            </w:r>
          </w:p>
        </w:tc>
        <w:tc>
          <w:tcPr>
            <w:tcW w:type="dxa" w:w="4245"/>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A 10,000-candidate run with validation/deduplication, usable progressive previews and exact saved settings.</w:t>
            </w:r>
          </w:p>
        </w:tc>
      </w:tr>
      <w:tr>
        <w:trPr>
          <w:cantSplit/>
        </w:trPr>
        <w:tc>
          <w:tcPr>
            <w:tcW w:type="dxa" w:w="1512"/>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2 · Deeper knowledge</w:t>
            </w:r>
          </w:p>
        </w:tc>
        <w:tc>
          <w:tcPr>
            <w:tcW w:type="dxa" w:w="4075"/>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Richer cultural records, layering, material-linked entries, image inputs, improved search and project workflows.</w:t>
            </w:r>
          </w:p>
        </w:tc>
        <w:tc>
          <w:tcPr>
            <w:tcW w:type="dxa" w:w="4245"/>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Source coverage and permissions audited; adaptations clearly separated from historical records.</w:t>
            </w:r>
          </w:p>
        </w:tc>
      </w:tr>
      <w:tr>
        <w:trPr>
          <w:cantSplit/>
        </w:trPr>
        <w:tc>
          <w:tcPr>
            <w:tcW w:type="dxa" w:w="1512"/>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3 · Discovery and 3D</w:t>
            </w:r>
          </w:p>
        </w:tc>
        <w:tc>
          <w:tcPr>
            <w:tcW w:type="dxa" w:w="4075"/>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Preference learning, more garment assets, material/light experiments and validated tool bridges.</w:t>
            </w:r>
          </w:p>
        </w:tc>
        <w:tc>
          <w:tcPr>
            <w:tcW w:type="dxa" w:w="4245"/>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Models beat defined baselines on held-out data; integrations and render assumptions are documented.</w:t>
            </w:r>
          </w:p>
        </w:tc>
      </w:tr>
      <w:tr>
        <w:trPr>
          <w:cantSplit/>
        </w:trPr>
        <w:tc>
          <w:tcPr>
            <w:tcW w:type="dxa" w:w="1512"/>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4 · Physical workflows</w:t>
            </w:r>
          </w:p>
        </w:tc>
        <w:tc>
          <w:tcPr>
            <w:tcW w:type="dxa" w:w="4075"/>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Spectral data, capture/measurement, print/textile references and production handoff.</w:t>
            </w:r>
          </w:p>
        </w:tc>
        <w:tc>
          <w:tcPr>
            <w:tcW w:type="dxa" w:w="4245"/>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Predictions validated against physical samples under specified conditions.</w:t>
            </w:r>
          </w:p>
        </w:tc>
      </w:tr>
    </w:tbl>
    <w:p>
      <w:pPr>
        <w:spacing w:after="0"/>
      </w:pPr>
    </w:p>
    <w:p>
      <w:pPr>
        <w:pStyle w:val="Heading2"/>
      </w:pPr>
      <w:r>
        <w:rPr>
          <w:rFonts w:ascii="Inter" w:hAnsi="Inter" w:eastAsia="Noto Sans CJK JP"/>
        </w:rPr>
        <w:t>First-release content is deliberately bounded</w:t>
      </w:r>
    </w:p>
    <w:p>
      <w:r>
        <w:rPr>
          <w:rFonts w:ascii="Inter" w:hAnsi="Inter" w:eastAsia="Noto Sans CJK JP"/>
        </w:rPr>
        <w:t>Include a useful introductory colour curriculum; all six main wheel structures; a few original perception exercises; bibliographic records for Wada; source-reviewed Japanese vocabulary/layering examples where reusable; and sourced Chinese framework and dictionary examples. Publish an exact inventory. Do not claim that entire books or national traditions are included.</w:t>
      </w:r>
    </w:p>
    <w:p>
      <w:pPr>
        <w:pStyle w:val="Heading2"/>
      </w:pPr>
      <w:r>
        <w:rPr>
          <w:rFonts w:ascii="Inter" w:hAnsi="Inter" w:eastAsia="Noto Sans CJK JP"/>
        </w:rPr>
        <w:t>First-release functional definition</w:t>
      </w:r>
    </w:p>
    <w:p>
      <w:r>
        <w:rPr>
          <w:rFonts w:ascii="Inter" w:hAnsi="Inter" w:eastAsia="Noto Sans CJK JP"/>
        </w:rPr>
        <w:t>A user can discover a source or colour, inspect its status, generate valid candidates, apply them to an unchanged garment, filter and compare, record a judgement, and export a reproducible project. Every historical claim is traceable; every displayed approximation is identifiable.</w:t>
      </w:r>
    </w:p>
    <w:p>
      <w:pPr>
        <w:spacing w:before="140" w:after="160"/>
        <w:ind w:left="187" w:right="144"/>
        <w:shd w:fill="EFF5F5"/>
        <w:pBdr>
          <w:left w:val="single" w:sz="18" w:color="146C70" w:space="7"/>
        </w:pBdr>
      </w:pPr>
      <w:r>
        <w:rPr>
          <w:rFonts w:ascii="Inter" w:hAnsi="Inter" w:eastAsia="Noto Sans CJK JP"/>
          <w:b/>
        </w:rPr>
        <w:t>Dependencies that can block launch</w:t>
      </w:r>
      <w:r>
        <w:rPr>
          <w:rFonts w:ascii="Inter" w:hAnsi="Inter" w:eastAsia="Noto Sans CJK JP"/>
        </w:rPr>
        <w:t xml:space="preserve">  Rights clearance, historical/linguistic review, a reliable garment-region asset and colour-engine validation must not be postponed until after a public “authentic colour dictionary” claim.</w:t>
      </w:r>
    </w:p>
    <w:p>
      <w:r>
        <w:br w:type="page"/>
      </w:r>
    </w:p>
    <w:p>
      <w:pPr>
        <w:spacing w:after="120"/>
      </w:pPr>
      <w:r>
        <w:rPr>
          <w:rFonts w:ascii="Inter" w:hAnsi="Inter" w:eastAsia="Noto Sans CJK JP"/>
          <w:b/>
          <w:color w:val="146C70"/>
          <w:sz w:val="17"/>
        </w:rPr>
        <w:t>E / DECISIONS AND COVERAGE</w:t>
      </w:r>
    </w:p>
    <w:p>
      <w:bookmarkStart w:id="27" w:name="sec27"/>
      <w:pPr>
        <w:pStyle w:val="Heading1"/>
      </w:pPr>
      <w:r>
        <w:rPr>
          <w:rFonts w:ascii="Inter" w:hAnsi="Inter" w:eastAsia="Noto Sans CJK JP"/>
        </w:rPr>
        <w:t>25. Open decisions and next deliverables</w:t>
      </w:r>
      <w:bookmarkEnd w:id="27"/>
    </w:p>
    <w:p>
      <w:pPr>
        <w:spacing w:after="200"/>
      </w:pPr>
      <w:r>
        <w:rPr>
          <w:rFonts w:ascii="Inter" w:hAnsi="Inter" w:eastAsia="Noto Sans CJK JP"/>
          <w:color w:val="53626E"/>
          <w:sz w:val="21"/>
        </w:rPr>
        <w:t>This is the starting specification. The research and implementation below are still to be done.</w:t>
      </w:r>
    </w:p>
    <w:tbl>
      <w:tblPr>
        <w:tblW w:type="auto" w:w="0"/>
        <w:jc w:val="center"/>
        <w:tblLayout w:type="fixed"/>
        <w:tblLook w:firstColumn="1" w:firstRow="1" w:lastColumn="0" w:lastRow="0" w:noHBand="0" w:noVBand="1" w:val="04A0"/>
      </w:tblPr>
      <w:tblGrid>
        <w:gridCol w:w="2333"/>
        <w:gridCol w:w="7499"/>
      </w:tblGrid>
      <w:tr>
        <w:trPr>
          <w:tblHeader w:val="true"/>
        </w:trPr>
        <w:tc>
          <w:tcPr>
            <w:tcW w:type="dxa" w:w="2333"/>
            <w:shd w:fill="173146"/>
            <w:tcMar>
              <w:top w:w="95" w:type="dxa"/>
              <w:start w:w="105" w:type="dxa"/>
              <w:bottom w:w="95" w:type="dxa"/>
              <w:end w:w="105" w:type="dxa"/>
            </w:tcMar>
          </w:tcPr>
          <w:p>
            <w:pPr>
              <w:widowControl w:val="0"/>
              <w:spacing w:after="0"/>
            </w:pPr>
            <w:r>
              <w:rPr>
                <w:rFonts w:ascii="Inter" w:hAnsi="Inter" w:eastAsia="Noto Sans CJK JP"/>
                <w:b/>
                <w:color w:val="FFFFFF"/>
                <w:sz w:val="18"/>
              </w:rPr>
              <w:t>Decision / deliverable</w:t>
            </w:r>
          </w:p>
        </w:tc>
        <w:tc>
          <w:tcPr>
            <w:tcW w:type="dxa" w:w="7499"/>
            <w:shd w:fill="173146"/>
            <w:tcMar>
              <w:top w:w="95" w:type="dxa"/>
              <w:start w:w="105" w:type="dxa"/>
              <w:bottom w:w="95" w:type="dxa"/>
              <w:end w:w="105" w:type="dxa"/>
            </w:tcMar>
          </w:tcPr>
          <w:p>
            <w:pPr>
              <w:widowControl w:val="0"/>
              <w:spacing w:after="0"/>
            </w:pPr>
            <w:r>
              <w:rPr>
                <w:rFonts w:ascii="Inter" w:hAnsi="Inter" w:eastAsia="Noto Sans CJK JP"/>
                <w:b/>
                <w:color w:val="FFFFFF"/>
                <w:sz w:val="18"/>
              </w:rPr>
              <w:t>Recommended starting position</w:t>
            </w:r>
          </w:p>
        </w:tc>
      </w:tr>
      <w:tr>
        <w:trPr>
          <w:cantSplit/>
        </w:trPr>
        <w:tc>
          <w:tcPr>
            <w:tcW w:type="dxa" w:w="233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Platform and working space</w:t>
            </w:r>
          </w:p>
        </w:tc>
        <w:tc>
          <w:tcPr>
            <w:tcW w:type="dxa" w:w="749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Browser-first; OKLCh exploration with preserved source representations. Confirm through prototype tests.</w:t>
            </w:r>
          </w:p>
        </w:tc>
      </w:tr>
      <w:tr>
        <w:trPr>
          <w:cantSplit/>
        </w:trPr>
        <w:tc>
          <w:tcPr>
            <w:tcW w:type="dxa" w:w="233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First garment</w:t>
            </w:r>
          </w:p>
        </w:tc>
        <w:tc>
          <w:tcPr>
            <w:tcW w:type="dxa" w:w="7499"/>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One original colour-block garment with stable region IDs, a fixed view and documented visible areas.</w:t>
            </w:r>
          </w:p>
        </w:tc>
      </w:tr>
      <w:tr>
        <w:trPr>
          <w:cantSplit/>
        </w:trPr>
        <w:tc>
          <w:tcPr>
            <w:tcW w:type="dxa" w:w="233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Japanese content</w:t>
            </w:r>
          </w:p>
        </w:tc>
        <w:tc>
          <w:tcPr>
            <w:tcW w:type="dxa" w:w="749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Wada bibliographic records plus reviewed traditional vocabulary and reusable layering examples. Seek permissions before bulk reproduction.</w:t>
            </w:r>
          </w:p>
        </w:tc>
      </w:tr>
      <w:tr>
        <w:trPr>
          <w:cantSplit/>
        </w:trPr>
        <w:tc>
          <w:tcPr>
            <w:tcW w:type="dxa" w:w="233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Chinese content</w:t>
            </w:r>
          </w:p>
        </w:tc>
        <w:tc>
          <w:tcPr>
            <w:tcW w:type="dxa" w:w="7499"/>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Sourced Wuxing module plus independently reviewed name/material/object records. Select actual datasets; do not fabricate a complete dictionary.</w:t>
            </w:r>
          </w:p>
        </w:tc>
      </w:tr>
      <w:tr>
        <w:trPr>
          <w:cantSplit/>
        </w:trPr>
        <w:tc>
          <w:tcPr>
            <w:tcW w:type="dxa" w:w="233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Review team</w:t>
            </w:r>
          </w:p>
        </w:tc>
        <w:tc>
          <w:tcPr>
            <w:tcW w:type="dxa" w:w="749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Identify colour-science, Japanese-language/cultural and Chinese-language/cultural reviewers as needed.</w:t>
            </w:r>
          </w:p>
        </w:tc>
      </w:tr>
      <w:tr>
        <w:trPr>
          <w:cantSplit/>
        </w:trPr>
        <w:tc>
          <w:tcPr>
            <w:tcW w:type="dxa" w:w="2333"/>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Learning approach</w:t>
            </w:r>
          </w:p>
        </w:tc>
        <w:tc>
          <w:tcPr>
            <w:tcW w:type="dxa" w:w="7499"/>
            <w:vAlign w:val="center"/>
            <w:tcMar>
              <w:top w:w="75" w:type="dxa"/>
              <w:start w:w="95" w:type="dxa"/>
              <w:bottom w:w="75" w:type="dxa"/>
              <w:end w:w="95" w:type="dxa"/>
            </w:tcMar>
            <w:shd w:fill="FFFFFF"/>
          </w:tcPr>
          <w:p>
            <w:pPr>
              <w:widowControl w:val="0"/>
              <w:spacing w:after="0" w:line="257" w:lineRule="auto"/>
            </w:pPr>
            <w:r>
              <w:rPr>
                <w:rFonts w:ascii="Inter" w:hAnsi="Inter" w:eastAsia="Noto Sans CJK JP"/>
                <w:sz w:val="18"/>
              </w:rPr>
              <w:t>Start with descriptive summaries and transparent comparisons; add predictive models only after validation.</w:t>
            </w:r>
          </w:p>
        </w:tc>
      </w:tr>
      <w:tr>
        <w:trPr>
          <w:cantSplit/>
        </w:trPr>
        <w:tc>
          <w:tcPr>
            <w:tcW w:type="dxa" w:w="2333"/>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Business / collaboration</w:t>
            </w:r>
          </w:p>
        </w:tc>
        <w:tc>
          <w:tcPr>
            <w:tcW w:type="dxa" w:w="7499"/>
            <w:vAlign w:val="center"/>
            <w:tcMar>
              <w:top w:w="75" w:type="dxa"/>
              <w:start w:w="95" w:type="dxa"/>
              <w:bottom w:w="75" w:type="dxa"/>
              <w:end w:w="95" w:type="dxa"/>
            </w:tcMar>
            <w:shd w:fill="F1F6F6"/>
          </w:tcPr>
          <w:p>
            <w:pPr>
              <w:widowControl w:val="0"/>
              <w:spacing w:after="0" w:line="257" w:lineRule="auto"/>
            </w:pPr>
            <w:r>
              <w:rPr>
                <w:rFonts w:ascii="Inter" w:hAnsi="Inter" w:eastAsia="Noto Sans CJK JP"/>
                <w:sz w:val="18"/>
              </w:rPr>
              <w:t>Keep pricing, licensing tiers, public sharing and institutional partnerships open; they were not defined in the current discussion.</w:t>
            </w:r>
          </w:p>
        </w:tc>
      </w:tr>
    </w:tbl>
    <w:p>
      <w:pPr>
        <w:spacing w:after="0"/>
      </w:pPr>
    </w:p>
    <w:p>
      <w:pPr>
        <w:pStyle w:val="Heading2"/>
      </w:pPr>
      <w:r>
        <w:rPr>
          <w:rFonts w:ascii="Inter" w:hAnsi="Inter" w:eastAsia="Noto Sans CJK JP"/>
        </w:rPr>
        <w:t>Coverage of the discussion</w:t>
      </w:r>
    </w:p>
    <w:p>
      <w:r>
        <w:rPr>
          <w:rFonts w:ascii="Inter" w:hAnsi="Inter" w:eastAsia="Noto Sans CJK JP"/>
        </w:rPr>
        <w:t>This document covers colour science and terminology; historical and wheel-based systems; Japanese and Chinese traditions; a source-aware dictionary; future regional expansion; thousands of palettes; controlled garment application; proportions, material, texture, light and body context; metrics and experiments; personal ratings; Explore, Compare and Discover; AI explanations; integrations; export; accessibility; licensing; privacy; validation and staged delivery.</w:t>
      </w:r>
    </w:p>
    <w:p>
      <w:pPr>
        <w:pStyle w:val="Heading2"/>
      </w:pPr>
      <w:r>
        <w:rPr>
          <w:rFonts w:ascii="Inter" w:hAnsi="Inter" w:eastAsia="Noto Sans CJK JP"/>
        </w:rPr>
        <w:t>Research tools and references—not dependencies</w:t>
      </w:r>
    </w:p>
    <w:p>
      <w:r>
        <w:rPr>
          <w:rFonts w:ascii="Inter" w:hAnsi="Inter" w:eastAsia="Noto Sans CJK JP"/>
        </w:rPr>
        <w:t xml:space="preserve">Adobe Color, Coolors, Color Hunt and Paletton remain interface/reference candidates. Illustrator, Photoshop, CAD tools, CLO 3D, Marvelous Designer and Blender remain potential workflow companions. No pricing, current API availability, asset rights or automated integration is assumed by this specification. Reviewed tool references appear in the source register. </w:t>
      </w:r>
      <w:r>
        <w:rPr>
          <w:rFonts w:ascii="Inter" w:hAnsi="Inter" w:eastAsia="Noto Sans CJK JP"/>
          <w:color w:val="146C70"/>
        </w:rPr>
        <w:t>[</w:t>
      </w:r>
      <w:hyperlink w:anchor="ref33">
        <w:r>
          <w:rPr>
            <w:rFonts w:ascii="Inter" w:hAnsi="Inter" w:eastAsia="Noto Sans CJK JP"/>
            <w:color w:val="146C70"/>
            <w:sz w:val="21"/>
            <w:u w:val="single"/>
          </w:rPr>
          <w:t>33</w:t>
        </w:r>
      </w:hyperlink>
      <w:r>
        <w:rPr>
          <w:rFonts w:ascii="Inter" w:hAnsi="Inter" w:eastAsia="Noto Sans CJK JP"/>
          <w:color w:val="146C70"/>
        </w:rPr>
        <w:t xml:space="preserve">, </w:t>
      </w:r>
      <w:hyperlink w:anchor="ref34">
        <w:r>
          <w:rPr>
            <w:rFonts w:ascii="Inter" w:hAnsi="Inter" w:eastAsia="Noto Sans CJK JP"/>
            <w:color w:val="146C70"/>
            <w:sz w:val="21"/>
            <w:u w:val="single"/>
          </w:rPr>
          <w:t>34</w:t>
        </w:r>
      </w:hyperlink>
      <w:r>
        <w:rPr>
          <w:rFonts w:ascii="Inter" w:hAnsi="Inter" w:eastAsia="Noto Sans CJK JP"/>
          <w:color w:val="146C70"/>
        </w:rPr>
        <w:t xml:space="preserve">, </w:t>
      </w:r>
      <w:hyperlink w:anchor="ref35">
        <w:r>
          <w:rPr>
            <w:rFonts w:ascii="Inter" w:hAnsi="Inter" w:eastAsia="Noto Sans CJK JP"/>
            <w:color w:val="146C70"/>
            <w:sz w:val="21"/>
            <w:u w:val="single"/>
          </w:rPr>
          <w:t>35</w:t>
        </w:r>
      </w:hyperlink>
      <w:r>
        <w:rPr>
          <w:rFonts w:ascii="Inter" w:hAnsi="Inter" w:eastAsia="Noto Sans CJK JP"/>
          <w:color w:val="146C70"/>
        </w:rPr>
        <w:t>]</w:t>
      </w:r>
    </w:p>
    <w:p>
      <w:pPr>
        <w:spacing w:before="140" w:after="160"/>
        <w:ind w:left="187" w:right="144"/>
        <w:shd w:fill="EFF5F5"/>
        <w:pBdr>
          <w:left w:val="single" w:sz="18" w:color="146C70" w:space="7"/>
        </w:pBdr>
      </w:pPr>
      <w:r>
        <w:rPr>
          <w:rFonts w:ascii="Inter" w:hAnsi="Inter" w:eastAsia="Noto Sans CJK JP"/>
          <w:b/>
        </w:rPr>
        <w:t>Next concrete deliverables</w:t>
      </w:r>
      <w:r>
        <w:rPr>
          <w:rFonts w:ascii="Inter" w:hAnsi="Inter" w:eastAsia="Noto Sans CJK JP"/>
        </w:rPr>
        <w:t xml:space="preserve">  Create the first reviewed dataset manifest; define the original garment region map; build and test the colour conversion/generation core; and execute the starter experiment. These are proposed next tasks, not work already completed by this document.</w:t>
      </w:r>
    </w:p>
    <w:p>
      <w:r>
        <w:br w:type="page"/>
      </w:r>
    </w:p>
    <w:p>
      <w:pPr>
        <w:spacing w:after="120"/>
      </w:pPr>
      <w:r>
        <w:rPr>
          <w:rFonts w:ascii="Inter" w:hAnsi="Inter" w:eastAsia="Noto Sans CJK JP"/>
          <w:b/>
          <w:color w:val="146C70"/>
          <w:sz w:val="17"/>
        </w:rPr>
        <w:t>SOURCE REGISTER / 1 OF 3</w:t>
      </w:r>
    </w:p>
    <w:p>
      <w:bookmarkStart w:id="28" w:name="sec28"/>
      <w:pPr>
        <w:pStyle w:val="Heading1"/>
      </w:pPr>
      <w:r>
        <w:rPr>
          <w:rFonts w:ascii="Inter" w:hAnsi="Inter" w:eastAsia="Noto Sans CJK JP"/>
        </w:rPr>
        <w:t>References: science and computation</w:t>
      </w:r>
      <w:bookmarkEnd w:id="28"/>
    </w:p>
    <w:p>
      <w:pPr>
        <w:spacing w:after="200"/>
      </w:pPr>
      <w:r>
        <w:rPr>
          <w:rFonts w:ascii="Inter" w:hAnsi="Inter" w:eastAsia="Noto Sans CJK JP"/>
          <w:color w:val="53626E"/>
          <w:sz w:val="21"/>
        </w:rPr>
        <w:t>Linked sources reviewed for this initial reference on 27 September 2026. Citations support reference knowledge, not completion of proposed product features.</w:t>
      </w:r>
    </w:p>
    <w:p>
      <w:bookmarkStart w:id="29" w:name="ref1"/>
      <w:pPr>
        <w:keepNext/>
        <w:spacing w:before="100" w:after="20"/>
      </w:pPr>
      <w:bookmarkEnd w:id="29"/>
      <w:r>
        <w:rPr>
          <w:rFonts w:ascii="Inter" w:hAnsi="Inter" w:eastAsia="Noto Sans CJK JP"/>
          <w:b/>
          <w:sz w:val="18"/>
        </w:rPr>
        <w:t>[1] CIE · International Lighting Vocabulary: core appearance terms</w:t>
      </w:r>
    </w:p>
    <w:p>
      <w:pPr>
        <w:keepNext/>
        <w:spacing w:after="40"/>
      </w:pPr>
      <w:hyperlink r:id="rId11">
        <w:r>
          <w:rPr>
            <w:rFonts w:ascii="Inter" w:hAnsi="Inter" w:eastAsia="Noto Sans CJK JP"/>
            <w:color w:val="146C70"/>
            <w:sz w:val="16"/>
            <w:u w:val="single"/>
          </w:rPr>
          <w:t>Hue</w:t>
        </w:r>
      </w:hyperlink>
      <w:r>
        <w:rPr>
          <w:rFonts w:ascii="Inter" w:hAnsi="Inter" w:eastAsia="Noto Sans CJK JP"/>
          <w:color w:val="53626E"/>
          <w:sz w:val="16"/>
        </w:rPr>
        <w:t xml:space="preserve">  ·  </w:t>
      </w:r>
      <w:hyperlink r:id="rId12">
        <w:r>
          <w:rPr>
            <w:rFonts w:ascii="Inter" w:hAnsi="Inter" w:eastAsia="Noto Sans CJK JP"/>
            <w:color w:val="146C70"/>
            <w:sz w:val="16"/>
            <w:u w:val="single"/>
          </w:rPr>
          <w:t>Brightness</w:t>
        </w:r>
      </w:hyperlink>
      <w:r>
        <w:rPr>
          <w:rFonts w:ascii="Inter" w:hAnsi="Inter" w:eastAsia="Noto Sans CJK JP"/>
          <w:color w:val="53626E"/>
          <w:sz w:val="16"/>
        </w:rPr>
        <w:t xml:space="preserve">  ·  </w:t>
      </w:r>
      <w:hyperlink r:id="rId13">
        <w:r>
          <w:rPr>
            <w:rFonts w:ascii="Inter" w:hAnsi="Inter" w:eastAsia="Noto Sans CJK JP"/>
            <w:color w:val="146C70"/>
            <w:sz w:val="16"/>
            <w:u w:val="single"/>
          </w:rPr>
          <w:t>Lightness</w:t>
        </w:r>
      </w:hyperlink>
      <w:r>
        <w:rPr>
          <w:rFonts w:ascii="Inter" w:hAnsi="Inter" w:eastAsia="Noto Sans CJK JP"/>
          <w:color w:val="53626E"/>
          <w:sz w:val="16"/>
        </w:rPr>
        <w:t xml:space="preserve">  ·  </w:t>
      </w:r>
      <w:hyperlink r:id="rId14">
        <w:r>
          <w:rPr>
            <w:rFonts w:ascii="Inter" w:hAnsi="Inter" w:eastAsia="Noto Sans CJK JP"/>
            <w:color w:val="146C70"/>
            <w:sz w:val="16"/>
            <w:u w:val="single"/>
          </w:rPr>
          <w:t>Chroma</w:t>
        </w:r>
      </w:hyperlink>
      <w:r>
        <w:rPr>
          <w:rFonts w:ascii="Inter" w:hAnsi="Inter" w:eastAsia="Noto Sans CJK JP"/>
          <w:color w:val="53626E"/>
          <w:sz w:val="16"/>
        </w:rPr>
        <w:t xml:space="preserve">  ·  </w:t>
      </w:r>
      <w:hyperlink r:id="rId15">
        <w:r>
          <w:rPr>
            <w:rFonts w:ascii="Inter" w:hAnsi="Inter" w:eastAsia="Noto Sans CJK JP"/>
            <w:color w:val="146C70"/>
            <w:sz w:val="16"/>
            <w:u w:val="single"/>
          </w:rPr>
          <w:t>Saturation</w:t>
        </w:r>
      </w:hyperlink>
      <w:r>
        <w:rPr>
          <w:rFonts w:ascii="Inter" w:hAnsi="Inter" w:eastAsia="Noto Sans CJK JP"/>
          <w:color w:val="53626E"/>
          <w:sz w:val="16"/>
        </w:rPr>
        <w:t xml:space="preserve">  ·  </w:t>
      </w:r>
      <w:hyperlink r:id="rId16">
        <w:r>
          <w:rPr>
            <w:rFonts w:ascii="Inter" w:hAnsi="Inter" w:eastAsia="Noto Sans CJK JP"/>
            <w:color w:val="146C70"/>
            <w:sz w:val="16"/>
            <w:u w:val="single"/>
          </w:rPr>
          <w:t>Chromatic induction</w:t>
        </w:r>
      </w:hyperlink>
      <w:r>
        <w:rPr>
          <w:rFonts w:ascii="Inter" w:hAnsi="Inter" w:eastAsia="Noto Sans CJK JP"/>
          <w:color w:val="53626E"/>
          <w:sz w:val="16"/>
        </w:rPr>
        <w:t xml:space="preserve">  ·  </w:t>
      </w:r>
      <w:hyperlink r:id="rId17">
        <w:r>
          <w:rPr>
            <w:rFonts w:ascii="Inter" w:hAnsi="Inter" w:eastAsia="Noto Sans CJK JP"/>
            <w:color w:val="146C70"/>
            <w:sz w:val="16"/>
            <w:u w:val="single"/>
          </w:rPr>
          <w:t>Vocabulary index</w:t>
        </w:r>
      </w:hyperlink>
    </w:p>
    <w:p>
      <w:pPr>
        <w:spacing w:after="100" w:line="247" w:lineRule="auto"/>
      </w:pPr>
      <w:r>
        <w:rPr>
          <w:rFonts w:ascii="Inter" w:hAnsi="Inter" w:eastAsia="Noto Sans CJK JP"/>
          <w:sz w:val="17"/>
        </w:rPr>
        <w:t>Terminology source; distinct entries preserve the differences between appearance attributes.</w:t>
      </w:r>
    </w:p>
    <w:p>
      <w:bookmarkStart w:id="30" w:name="ref2"/>
      <w:pPr>
        <w:keepNext/>
        <w:spacing w:before="100" w:after="20"/>
      </w:pPr>
      <w:bookmarkEnd w:id="30"/>
      <w:r>
        <w:rPr>
          <w:rFonts w:ascii="Inter" w:hAnsi="Inter" w:eastAsia="Noto Sans CJK JP"/>
          <w:b/>
          <w:sz w:val="18"/>
        </w:rPr>
        <w:t>[2] CIE · CIELAB colour space</w:t>
      </w:r>
    </w:p>
    <w:p>
      <w:pPr>
        <w:keepNext/>
        <w:spacing w:after="40"/>
      </w:pPr>
      <w:hyperlink r:id="rId18">
        <w:r>
          <w:rPr>
            <w:rFonts w:ascii="Inter" w:hAnsi="Inter" w:eastAsia="Noto Sans CJK JP"/>
            <w:color w:val="146C70"/>
            <w:sz w:val="16"/>
            <w:u w:val="single"/>
          </w:rPr>
          <w:t>Definition</w:t>
        </w:r>
      </w:hyperlink>
    </w:p>
    <w:p>
      <w:pPr>
        <w:spacing w:after="100" w:line="247" w:lineRule="auto"/>
      </w:pPr>
      <w:r>
        <w:rPr>
          <w:rFonts w:ascii="Inter" w:hAnsi="Inter" w:eastAsia="Noto Sans CJK JP"/>
          <w:sz w:val="17"/>
        </w:rPr>
        <w:t>Reference-white dependence, coordinates and approximately uniform representation.</w:t>
      </w:r>
    </w:p>
    <w:p>
      <w:bookmarkStart w:id="31" w:name="ref3"/>
      <w:pPr>
        <w:keepNext/>
        <w:spacing w:before="100" w:after="20"/>
      </w:pPr>
      <w:bookmarkEnd w:id="31"/>
      <w:r>
        <w:rPr>
          <w:rFonts w:ascii="Inter" w:hAnsi="Inter" w:eastAsia="Noto Sans CJK JP"/>
          <w:b/>
          <w:sz w:val="18"/>
        </w:rPr>
        <w:t>[3] CIE · Metamerism</w:t>
      </w:r>
    </w:p>
    <w:p>
      <w:pPr>
        <w:keepNext/>
        <w:spacing w:after="40"/>
      </w:pPr>
      <w:hyperlink r:id="rId19">
        <w:r>
          <w:rPr>
            <w:rFonts w:ascii="Inter" w:hAnsi="Inter" w:eastAsia="Noto Sans CJK JP"/>
            <w:color w:val="146C70"/>
            <w:sz w:val="16"/>
            <w:u w:val="single"/>
          </w:rPr>
          <w:t>Definition</w:t>
        </w:r>
      </w:hyperlink>
    </w:p>
    <w:p>
      <w:pPr>
        <w:spacing w:after="100" w:line="247" w:lineRule="auto"/>
      </w:pPr>
      <w:r>
        <w:rPr>
          <w:rFonts w:ascii="Inter" w:hAnsi="Inter" w:eastAsia="Noto Sans CJK JP"/>
          <w:sz w:val="17"/>
        </w:rPr>
        <w:t>Spectrally different stimuli can share tristimulus values in a specified system.</w:t>
      </w:r>
    </w:p>
    <w:p>
      <w:bookmarkStart w:id="32" w:name="ref4"/>
      <w:pPr>
        <w:keepNext/>
        <w:spacing w:before="100" w:after="20"/>
      </w:pPr>
      <w:bookmarkEnd w:id="32"/>
      <w:r>
        <w:rPr>
          <w:rFonts w:ascii="Inter" w:hAnsi="Inter" w:eastAsia="Noto Sans CJK JP"/>
          <w:b/>
          <w:sz w:val="18"/>
        </w:rPr>
        <w:t>[4] CIE · Colour appearance model</w:t>
      </w:r>
    </w:p>
    <w:p>
      <w:pPr>
        <w:keepNext/>
        <w:spacing w:after="40"/>
      </w:pPr>
      <w:hyperlink r:id="rId20">
        <w:r>
          <w:rPr>
            <w:rFonts w:ascii="Inter" w:hAnsi="Inter" w:eastAsia="Noto Sans CJK JP"/>
            <w:color w:val="146C70"/>
            <w:sz w:val="16"/>
            <w:u w:val="single"/>
          </w:rPr>
          <w:t>Definition</w:t>
        </w:r>
      </w:hyperlink>
    </w:p>
    <w:p>
      <w:pPr>
        <w:spacing w:after="100" w:line="247" w:lineRule="auto"/>
      </w:pPr>
      <w:r>
        <w:rPr>
          <w:rFonts w:ascii="Inter" w:hAnsi="Inter" w:eastAsia="Noto Sans CJK JP"/>
          <w:sz w:val="17"/>
        </w:rPr>
        <w:t>Connects stimulus descriptors with illuminating and viewing conditions.</w:t>
      </w:r>
    </w:p>
    <w:p>
      <w:bookmarkStart w:id="33" w:name="ref5"/>
      <w:pPr>
        <w:keepNext/>
        <w:spacing w:before="100" w:after="20"/>
      </w:pPr>
      <w:bookmarkEnd w:id="33"/>
      <w:r>
        <w:rPr>
          <w:rFonts w:ascii="Inter" w:hAnsi="Inter" w:eastAsia="Noto Sans CJK JP"/>
          <w:b/>
          <w:sz w:val="18"/>
        </w:rPr>
        <w:t>[5] CIE · Correlated colour temperature</w:t>
      </w:r>
    </w:p>
    <w:p>
      <w:pPr>
        <w:keepNext/>
        <w:spacing w:after="40"/>
      </w:pPr>
      <w:hyperlink r:id="rId21">
        <w:r>
          <w:rPr>
            <w:rFonts w:ascii="Inter" w:hAnsi="Inter" w:eastAsia="Noto Sans CJK JP"/>
            <w:color w:val="146C70"/>
            <w:sz w:val="16"/>
            <w:u w:val="single"/>
          </w:rPr>
          <w:t>Definition</w:t>
        </w:r>
      </w:hyperlink>
    </w:p>
    <w:p>
      <w:pPr>
        <w:spacing w:after="100" w:line="247" w:lineRule="auto"/>
      </w:pPr>
      <w:r>
        <w:rPr>
          <w:rFonts w:ascii="Inter" w:hAnsi="Inter" w:eastAsia="Noto Sans CJK JP"/>
          <w:sz w:val="17"/>
        </w:rPr>
        <w:t>Formal terminology for correlated colour temperature; not a cloth-colour coordinate.</w:t>
      </w:r>
    </w:p>
    <w:p>
      <w:bookmarkStart w:id="34" w:name="ref6"/>
      <w:pPr>
        <w:keepNext/>
        <w:spacing w:before="100" w:after="20"/>
      </w:pPr>
      <w:bookmarkEnd w:id="34"/>
      <w:r>
        <w:rPr>
          <w:rFonts w:ascii="Inter" w:hAnsi="Inter" w:eastAsia="Noto Sans CJK JP"/>
          <w:b/>
          <w:sz w:val="18"/>
        </w:rPr>
        <w:t>[6] W3C · CSS Color Module Level 4</w:t>
      </w:r>
    </w:p>
    <w:p>
      <w:pPr>
        <w:keepNext/>
        <w:spacing w:after="40"/>
      </w:pPr>
      <w:hyperlink r:id="rId22">
        <w:r>
          <w:rPr>
            <w:rFonts w:ascii="Inter" w:hAnsi="Inter" w:eastAsia="Noto Sans CJK JP"/>
            <w:color w:val="146C70"/>
            <w:sz w:val="16"/>
            <w:u w:val="single"/>
          </w:rPr>
          <w:t>Specification</w:t>
        </w:r>
      </w:hyperlink>
    </w:p>
    <w:p>
      <w:pPr>
        <w:spacing w:after="100" w:line="247" w:lineRule="auto"/>
      </w:pPr>
      <w:r>
        <w:rPr>
          <w:rFonts w:ascii="Inter" w:hAnsi="Inter" w:eastAsia="Noto Sans CJK JP"/>
          <w:sz w:val="17"/>
        </w:rPr>
        <w:t>RGB spaces, Lab/LCh, OKLab/OKLCh, reference whites and colour conversion.</w:t>
      </w:r>
    </w:p>
    <w:p>
      <w:bookmarkStart w:id="35" w:name="ref7"/>
      <w:pPr>
        <w:keepNext/>
        <w:spacing w:before="100" w:after="20"/>
      </w:pPr>
      <w:bookmarkEnd w:id="35"/>
      <w:r>
        <w:rPr>
          <w:rFonts w:ascii="Inter" w:hAnsi="Inter" w:eastAsia="Noto Sans CJK JP"/>
          <w:b/>
          <w:sz w:val="18"/>
        </w:rPr>
        <w:t>[7] Björn Ottosson · A perceptual color space for image processing</w:t>
      </w:r>
    </w:p>
    <w:p>
      <w:pPr>
        <w:keepNext/>
        <w:spacing w:after="40"/>
      </w:pPr>
      <w:hyperlink r:id="rId23">
        <w:r>
          <w:rPr>
            <w:rFonts w:ascii="Inter" w:hAnsi="Inter" w:eastAsia="Noto Sans CJK JP"/>
            <w:color w:val="146C70"/>
            <w:sz w:val="16"/>
            <w:u w:val="single"/>
          </w:rPr>
          <w:t>Original OKLab article</w:t>
        </w:r>
      </w:hyperlink>
    </w:p>
    <w:p>
      <w:pPr>
        <w:spacing w:after="100" w:line="247" w:lineRule="auto"/>
      </w:pPr>
      <w:r>
        <w:rPr>
          <w:rFonts w:ascii="Inter" w:hAnsi="Inter" w:eastAsia="Noto Sans CJK JP"/>
          <w:sz w:val="17"/>
        </w:rPr>
        <w:t>Author’s explanation of the OKLab design and intended behaviour.</w:t>
      </w:r>
    </w:p>
    <w:p>
      <w:bookmarkStart w:id="36" w:name="ref8"/>
      <w:pPr>
        <w:keepNext/>
        <w:spacing w:before="100" w:after="20"/>
      </w:pPr>
      <w:bookmarkEnd w:id="36"/>
      <w:r>
        <w:rPr>
          <w:rFonts w:ascii="Inter" w:hAnsi="Inter" w:eastAsia="Noto Sans CJK JP"/>
          <w:b/>
          <w:sz w:val="18"/>
        </w:rPr>
        <w:t>[8] Color.js · Colour spaces</w:t>
      </w:r>
    </w:p>
    <w:p>
      <w:pPr>
        <w:keepNext/>
        <w:spacing w:after="40"/>
      </w:pPr>
      <w:hyperlink r:id="rId24">
        <w:r>
          <w:rPr>
            <w:rFonts w:ascii="Inter" w:hAnsi="Inter" w:eastAsia="Noto Sans CJK JP"/>
            <w:color w:val="146C70"/>
            <w:sz w:val="16"/>
            <w:u w:val="single"/>
          </w:rPr>
          <w:t>Documentation</w:t>
        </w:r>
      </w:hyperlink>
    </w:p>
    <w:p>
      <w:pPr>
        <w:spacing w:after="100" w:line="247" w:lineRule="auto"/>
      </w:pPr>
      <w:r>
        <w:rPr>
          <w:rFonts w:ascii="Inter" w:hAnsi="Inter" w:eastAsia="Noto Sans CJK JP"/>
          <w:sz w:val="17"/>
        </w:rPr>
        <w:t>Supported spaces and their conventions; candidate implementation reference.</w:t>
      </w:r>
    </w:p>
    <w:p>
      <w:bookmarkStart w:id="37" w:name="ref9"/>
      <w:pPr>
        <w:keepNext/>
        <w:spacing w:before="100" w:after="20"/>
      </w:pPr>
      <w:bookmarkEnd w:id="37"/>
      <w:r>
        <w:rPr>
          <w:rFonts w:ascii="Inter" w:hAnsi="Inter" w:eastAsia="Noto Sans CJK JP"/>
          <w:b/>
          <w:sz w:val="18"/>
        </w:rPr>
        <w:t>[9] Color.js · Gamut mapping</w:t>
      </w:r>
    </w:p>
    <w:p>
      <w:pPr>
        <w:keepNext/>
        <w:spacing w:after="40"/>
      </w:pPr>
      <w:hyperlink r:id="rId25">
        <w:r>
          <w:rPr>
            <w:rFonts w:ascii="Inter" w:hAnsi="Inter" w:eastAsia="Noto Sans CJK JP"/>
            <w:color w:val="146C70"/>
            <w:sz w:val="16"/>
            <w:u w:val="single"/>
          </w:rPr>
          <w:t>Documentation</w:t>
        </w:r>
      </w:hyperlink>
    </w:p>
    <w:p>
      <w:pPr>
        <w:spacing w:after="100" w:line="247" w:lineRule="auto"/>
      </w:pPr>
      <w:r>
        <w:rPr>
          <w:rFonts w:ascii="Inter" w:hAnsi="Inter" w:eastAsia="Noto Sans CJK JP"/>
          <w:sz w:val="17"/>
        </w:rPr>
        <w:t>Mapping options and the difference between clipping and other approaches.</w:t>
      </w:r>
    </w:p>
    <w:p>
      <w:bookmarkStart w:id="38" w:name="ref10"/>
      <w:pPr>
        <w:keepNext/>
        <w:spacing w:before="100" w:after="20"/>
      </w:pPr>
      <w:bookmarkEnd w:id="38"/>
      <w:r>
        <w:rPr>
          <w:rFonts w:ascii="Inter" w:hAnsi="Inter" w:eastAsia="Noto Sans CJK JP"/>
          <w:b/>
          <w:sz w:val="18"/>
        </w:rPr>
        <w:t>[10] Color.js · Colour difference</w:t>
      </w:r>
    </w:p>
    <w:p>
      <w:pPr>
        <w:keepNext/>
        <w:spacing w:after="40"/>
      </w:pPr>
      <w:hyperlink r:id="rId26">
        <w:r>
          <w:rPr>
            <w:rFonts w:ascii="Inter" w:hAnsi="Inter" w:eastAsia="Noto Sans CJK JP"/>
            <w:color w:val="146C70"/>
            <w:sz w:val="16"/>
            <w:u w:val="single"/>
          </w:rPr>
          <w:t>Documentation</w:t>
        </w:r>
      </w:hyperlink>
    </w:p>
    <w:p>
      <w:pPr>
        <w:spacing w:after="100" w:line="247" w:lineRule="auto"/>
      </w:pPr>
      <w:r>
        <w:rPr>
          <w:rFonts w:ascii="Inter" w:hAnsi="Inter" w:eastAsia="Noto Sans CJK JP"/>
          <w:sz w:val="17"/>
        </w:rPr>
        <w:t>Alternative difference metrics and their implementation conventions.</w:t>
      </w:r>
    </w:p>
    <w:p>
      <w:bookmarkStart w:id="39" w:name="ref11"/>
      <w:pPr>
        <w:keepNext/>
        <w:spacing w:before="100" w:after="20"/>
      </w:pPr>
      <w:bookmarkEnd w:id="39"/>
      <w:r>
        <w:rPr>
          <w:rFonts w:ascii="Inter" w:hAnsi="Inter" w:eastAsia="Noto Sans CJK JP"/>
          <w:b/>
          <w:sz w:val="18"/>
        </w:rPr>
        <w:t>[11] Color.js · Interpolation</w:t>
      </w:r>
    </w:p>
    <w:p>
      <w:pPr>
        <w:keepNext/>
        <w:spacing w:after="40"/>
      </w:pPr>
      <w:hyperlink r:id="rId27">
        <w:r>
          <w:rPr>
            <w:rFonts w:ascii="Inter" w:hAnsi="Inter" w:eastAsia="Noto Sans CJK JP"/>
            <w:color w:val="146C70"/>
            <w:sz w:val="16"/>
            <w:u w:val="single"/>
          </w:rPr>
          <w:t>Documentation</w:t>
        </w:r>
      </w:hyperlink>
    </w:p>
    <w:p>
      <w:pPr>
        <w:spacing w:after="100" w:line="247" w:lineRule="auto"/>
      </w:pPr>
      <w:r>
        <w:rPr>
          <w:rFonts w:ascii="Inter" w:hAnsi="Inter" w:eastAsia="Noto Sans CJK JP"/>
          <w:sz w:val="17"/>
        </w:rPr>
        <w:t>Colour-space-dependent interpolation and related controls.</w:t>
      </w:r>
    </w:p>
    <w:p>
      <w:bookmarkStart w:id="40" w:name="ref12"/>
      <w:pPr>
        <w:keepNext/>
        <w:spacing w:before="100" w:after="20"/>
      </w:pPr>
      <w:bookmarkEnd w:id="40"/>
      <w:r>
        <w:rPr>
          <w:rFonts w:ascii="Inter" w:hAnsi="Inter" w:eastAsia="Noto Sans CJK JP"/>
          <w:b/>
          <w:sz w:val="18"/>
        </w:rPr>
        <w:t>[12] International Color Consortium · Frequently asked questions</w:t>
      </w:r>
    </w:p>
    <w:p>
      <w:pPr>
        <w:keepNext/>
        <w:spacing w:after="40"/>
      </w:pPr>
      <w:hyperlink r:id="rId28">
        <w:r>
          <w:rPr>
            <w:rFonts w:ascii="Inter" w:hAnsi="Inter" w:eastAsia="Noto Sans CJK JP"/>
            <w:color w:val="146C70"/>
            <w:sz w:val="16"/>
            <w:u w:val="single"/>
          </w:rPr>
          <w:t>ICC FAQs</w:t>
        </w:r>
      </w:hyperlink>
    </w:p>
    <w:p>
      <w:pPr>
        <w:spacing w:after="100" w:line="247" w:lineRule="auto"/>
      </w:pPr>
      <w:r>
        <w:rPr>
          <w:rFonts w:ascii="Inter" w:hAnsi="Inter" w:eastAsia="Noto Sans CJK JP"/>
          <w:sz w:val="17"/>
        </w:rPr>
        <w:t>Profile-based colour management and practical conversion considerations.</w:t>
      </w:r>
    </w:p>
    <w:p>
      <w:r>
        <w:br w:type="page"/>
      </w:r>
    </w:p>
    <w:p>
      <w:pPr>
        <w:spacing w:after="120"/>
      </w:pPr>
      <w:r>
        <w:rPr>
          <w:rFonts w:ascii="Inter" w:hAnsi="Inter" w:eastAsia="Noto Sans CJK JP"/>
          <w:b/>
          <w:color w:val="146C70"/>
          <w:sz w:val="17"/>
        </w:rPr>
        <w:t>SOURCE REGISTER / 2 OF 3</w:t>
      </w:r>
    </w:p>
    <w:p>
      <w:bookmarkStart w:id="41" w:name="sec29"/>
      <w:pPr>
        <w:pStyle w:val="Heading1"/>
      </w:pPr>
      <w:r>
        <w:rPr>
          <w:rFonts w:ascii="Inter" w:hAnsi="Inter" w:eastAsia="Noto Sans CJK JP"/>
        </w:rPr>
        <w:t>References: perception and Japanese sources</w:t>
      </w:r>
      <w:bookmarkEnd w:id="41"/>
    </w:p>
    <w:p>
      <w:pPr>
        <w:spacing w:after="200"/>
      </w:pPr>
      <w:r>
        <w:rPr>
          <w:rFonts w:ascii="Inter" w:hAnsi="Inter" w:eastAsia="Noto Sans CJK JP"/>
          <w:color w:val="53626E"/>
          <w:sz w:val="21"/>
        </w:rPr>
        <w:t>Historical works, institutional interpretation and publisher records serve different evidentiary roles.</w:t>
      </w:r>
    </w:p>
    <w:p>
      <w:bookmarkStart w:id="42" w:name="ref13"/>
      <w:pPr>
        <w:keepNext/>
        <w:spacing w:before="100" w:after="20"/>
      </w:pPr>
      <w:bookmarkEnd w:id="42"/>
      <w:r>
        <w:rPr>
          <w:rFonts w:ascii="Inter" w:hAnsi="Inter" w:eastAsia="Noto Sans CJK JP"/>
          <w:b/>
          <w:sz w:val="18"/>
        </w:rPr>
        <w:t>[13] Colour Developers · Spectral distribution to XYZ</w:t>
      </w:r>
    </w:p>
    <w:p>
      <w:pPr>
        <w:keepNext/>
        <w:spacing w:after="40"/>
      </w:pPr>
      <w:hyperlink r:id="rId29">
        <w:r>
          <w:rPr>
            <w:rFonts w:ascii="Inter" w:hAnsi="Inter" w:eastAsia="Noto Sans CJK JP"/>
            <w:color w:val="146C70"/>
            <w:sz w:val="16"/>
            <w:u w:val="single"/>
          </w:rPr>
          <w:t>API documentation</w:t>
        </w:r>
      </w:hyperlink>
    </w:p>
    <w:p>
      <w:pPr>
        <w:spacing w:after="100" w:line="247" w:lineRule="auto"/>
      </w:pPr>
      <w:r>
        <w:rPr>
          <w:rFonts w:ascii="Inter" w:hAnsi="Inter" w:eastAsia="Noto Sans CJK JP"/>
          <w:sz w:val="17"/>
        </w:rPr>
        <w:t>Spectral calculation inputs: distribution, observer functions and illuminant. Development documentation; pin an implemented version.</w:t>
      </w:r>
    </w:p>
    <w:p>
      <w:bookmarkStart w:id="43" w:name="ref14"/>
      <w:pPr>
        <w:keepNext/>
        <w:spacing w:before="100" w:after="20"/>
      </w:pPr>
      <w:bookmarkEnd w:id="43"/>
      <w:r>
        <w:rPr>
          <w:rFonts w:ascii="Inter" w:hAnsi="Inter" w:eastAsia="Noto Sans CJK JP"/>
          <w:b/>
          <w:sz w:val="18"/>
        </w:rPr>
        <w:t>[14] OpenColorIO · Project documentation</w:t>
      </w:r>
    </w:p>
    <w:p>
      <w:pPr>
        <w:keepNext/>
        <w:spacing w:after="40"/>
      </w:pPr>
      <w:hyperlink r:id="rId30">
        <w:r>
          <w:rPr>
            <w:rFonts w:ascii="Inter" w:hAnsi="Inter" w:eastAsia="Noto Sans CJK JP"/>
            <w:color w:val="146C70"/>
            <w:sz w:val="16"/>
            <w:u w:val="single"/>
          </w:rPr>
          <w:t>Project site</w:t>
        </w:r>
      </w:hyperlink>
    </w:p>
    <w:p>
      <w:pPr>
        <w:spacing w:after="100" w:line="247" w:lineRule="auto"/>
      </w:pPr>
      <w:r>
        <w:rPr>
          <w:rFonts w:ascii="Inter" w:hAnsi="Inter" w:eastAsia="Noto Sans CJK JP"/>
          <w:sz w:val="17"/>
        </w:rPr>
        <w:t>Candidate infrastructure for consistent colour transforms in a render pipeline.</w:t>
      </w:r>
    </w:p>
    <w:p>
      <w:bookmarkStart w:id="44" w:name="ref15"/>
      <w:pPr>
        <w:keepNext/>
        <w:spacing w:before="100" w:after="20"/>
      </w:pPr>
      <w:bookmarkEnd w:id="44"/>
      <w:r>
        <w:rPr>
          <w:rFonts w:ascii="Inter" w:hAnsi="Inter" w:eastAsia="Noto Sans CJK JP"/>
          <w:b/>
          <w:sz w:val="18"/>
        </w:rPr>
        <w:t>[15] W3C WAI · Understanding SC 1.4.3: Contrast (Minimum)</w:t>
      </w:r>
    </w:p>
    <w:p>
      <w:pPr>
        <w:keepNext/>
        <w:spacing w:after="40"/>
      </w:pPr>
      <w:hyperlink r:id="rId31">
        <w:r>
          <w:rPr>
            <w:rFonts w:ascii="Inter" w:hAnsi="Inter" w:eastAsia="Noto Sans CJK JP"/>
            <w:color w:val="146C70"/>
            <w:sz w:val="16"/>
            <w:u w:val="single"/>
          </w:rPr>
          <w:t>WCAG 2.2 guidance</w:t>
        </w:r>
      </w:hyperlink>
    </w:p>
    <w:p>
      <w:pPr>
        <w:spacing w:after="100" w:line="247" w:lineRule="auto"/>
      </w:pPr>
      <w:r>
        <w:rPr>
          <w:rFonts w:ascii="Inter" w:hAnsi="Inter" w:eastAsia="Noto Sans CJK JP"/>
          <w:sz w:val="17"/>
        </w:rPr>
        <w:t>UI text contrast thresholds and the criterion’s scope and exceptions.</w:t>
      </w:r>
    </w:p>
    <w:p>
      <w:bookmarkStart w:id="45" w:name="ref16"/>
      <w:pPr>
        <w:keepNext/>
        <w:spacing w:before="100" w:after="20"/>
      </w:pPr>
      <w:bookmarkEnd w:id="45"/>
      <w:r>
        <w:rPr>
          <w:rFonts w:ascii="Inter" w:hAnsi="Inter" w:eastAsia="Noto Sans CJK JP"/>
          <w:b/>
          <w:sz w:val="18"/>
        </w:rPr>
        <w:t>[16] W3C WAI · Understanding SC 1.4.1: Use of Color</w:t>
      </w:r>
    </w:p>
    <w:p>
      <w:pPr>
        <w:keepNext/>
        <w:spacing w:after="40"/>
      </w:pPr>
      <w:hyperlink r:id="rId32">
        <w:r>
          <w:rPr>
            <w:rFonts w:ascii="Inter" w:hAnsi="Inter" w:eastAsia="Noto Sans CJK JP"/>
            <w:color w:val="146C70"/>
            <w:sz w:val="16"/>
            <w:u w:val="single"/>
          </w:rPr>
          <w:t>WCAG 2.2 guidance</w:t>
        </w:r>
      </w:hyperlink>
    </w:p>
    <w:p>
      <w:pPr>
        <w:spacing w:after="100" w:line="247" w:lineRule="auto"/>
      </w:pPr>
      <w:r>
        <w:rPr>
          <w:rFonts w:ascii="Inter" w:hAnsi="Inter" w:eastAsia="Noto Sans CJK JP"/>
          <w:sz w:val="17"/>
        </w:rPr>
        <w:t>Information must not rely on colour alone.</w:t>
      </w:r>
    </w:p>
    <w:p>
      <w:bookmarkStart w:id="46" w:name="ref17"/>
      <w:pPr>
        <w:keepNext/>
        <w:spacing w:before="100" w:after="20"/>
      </w:pPr>
      <w:bookmarkEnd w:id="46"/>
      <w:r>
        <w:rPr>
          <w:rFonts w:ascii="Inter" w:hAnsi="Inter" w:eastAsia="Noto Sans CJK JP"/>
          <w:b/>
          <w:sz w:val="18"/>
        </w:rPr>
        <w:t>[17] A. H. Munsell · A Color Notation, 2nd edition (1907)</w:t>
      </w:r>
    </w:p>
    <w:p>
      <w:pPr>
        <w:keepNext/>
        <w:spacing w:after="40"/>
      </w:pPr>
      <w:hyperlink r:id="rId33">
        <w:r>
          <w:rPr>
            <w:rFonts w:ascii="Inter" w:hAnsi="Inter" w:eastAsia="Noto Sans CJK JP"/>
            <w:color w:val="146C70"/>
            <w:sz w:val="16"/>
            <w:u w:val="single"/>
          </w:rPr>
          <w:t>Historical full text</w:t>
        </w:r>
      </w:hyperlink>
    </w:p>
    <w:p>
      <w:pPr>
        <w:spacing w:after="100" w:line="247" w:lineRule="auto"/>
      </w:pPr>
      <w:r>
        <w:rPr>
          <w:rFonts w:ascii="Inter" w:hAnsi="Inter" w:eastAsia="Noto Sans CJK JP"/>
          <w:sz w:val="17"/>
        </w:rPr>
        <w:t>Primary historical source for hue, value and chroma organisation. Not a source of current spectral physics or unrestricted modern charts.</w:t>
      </w:r>
    </w:p>
    <w:p>
      <w:bookmarkStart w:id="47" w:name="ref18"/>
      <w:pPr>
        <w:keepNext/>
        <w:spacing w:before="100" w:after="20"/>
      </w:pPr>
      <w:bookmarkEnd w:id="47"/>
      <w:r>
        <w:rPr>
          <w:rFonts w:ascii="Inter" w:hAnsi="Inter" w:eastAsia="Noto Sans CJK JP"/>
          <w:b/>
          <w:sz w:val="18"/>
        </w:rPr>
        <w:t>[18] MIT Press · Goethe, Theory of Colours</w:t>
      </w:r>
    </w:p>
    <w:p>
      <w:pPr>
        <w:keepNext/>
        <w:spacing w:after="40"/>
      </w:pPr>
      <w:hyperlink r:id="rId34">
        <w:r>
          <w:rPr>
            <w:rFonts w:ascii="Inter" w:hAnsi="Inter" w:eastAsia="Noto Sans CJK JP"/>
            <w:color w:val="146C70"/>
            <w:sz w:val="16"/>
            <w:u w:val="single"/>
          </w:rPr>
          <w:t>Publisher record</w:t>
        </w:r>
      </w:hyperlink>
    </w:p>
    <w:p>
      <w:pPr>
        <w:spacing w:after="100" w:line="247" w:lineRule="auto"/>
      </w:pPr>
      <w:r>
        <w:rPr>
          <w:rFonts w:ascii="Inter" w:hAnsi="Inter" w:eastAsia="Noto Sans CJK JP"/>
          <w:sz w:val="17"/>
        </w:rPr>
        <w:t>Bibliographic and interpretive context for the historical work and Eastlake translation.</w:t>
      </w:r>
    </w:p>
    <w:p>
      <w:bookmarkStart w:id="48" w:name="ref19"/>
      <w:pPr>
        <w:keepNext/>
        <w:spacing w:before="100" w:after="20"/>
      </w:pPr>
      <w:bookmarkEnd w:id="48"/>
      <w:r>
        <w:rPr>
          <w:rFonts w:ascii="Inter" w:hAnsi="Inter" w:eastAsia="Noto Sans CJK JP"/>
          <w:b/>
          <w:sz w:val="18"/>
        </w:rPr>
        <w:t>[19] Getty Research Institute · Bauhaus: Color</w:t>
      </w:r>
    </w:p>
    <w:p>
      <w:pPr>
        <w:keepNext/>
        <w:spacing w:after="40"/>
      </w:pPr>
      <w:hyperlink r:id="rId35">
        <w:r>
          <w:rPr>
            <w:rFonts w:ascii="Inter" w:hAnsi="Inter" w:eastAsia="Noto Sans CJK JP"/>
            <w:color w:val="146C70"/>
            <w:sz w:val="16"/>
            <w:u w:val="single"/>
          </w:rPr>
          <w:t>Exhibition resource</w:t>
        </w:r>
      </w:hyperlink>
    </w:p>
    <w:p>
      <w:pPr>
        <w:spacing w:after="100" w:line="247" w:lineRule="auto"/>
      </w:pPr>
      <w:r>
        <w:rPr>
          <w:rFonts w:ascii="Inter" w:hAnsi="Inter" w:eastAsia="Noto Sans CJK JP"/>
          <w:sz w:val="17"/>
        </w:rPr>
        <w:t>Institutional account of colour teaching and exercises, including Itten and Albers.</w:t>
      </w:r>
    </w:p>
    <w:p>
      <w:bookmarkStart w:id="49" w:name="ref20"/>
      <w:pPr>
        <w:keepNext/>
        <w:spacing w:before="100" w:after="20"/>
      </w:pPr>
      <w:bookmarkEnd w:id="49"/>
      <w:r>
        <w:rPr>
          <w:rFonts w:ascii="Inter" w:hAnsi="Inter" w:eastAsia="Noto Sans CJK JP"/>
          <w:b/>
          <w:sz w:val="18"/>
        </w:rPr>
        <w:t>[20] Josef &amp; Anni Albers Foundation · Teaching</w:t>
      </w:r>
    </w:p>
    <w:p>
      <w:pPr>
        <w:keepNext/>
        <w:spacing w:after="40"/>
      </w:pPr>
      <w:hyperlink r:id="rId36">
        <w:r>
          <w:rPr>
            <w:rFonts w:ascii="Inter" w:hAnsi="Inter" w:eastAsia="Noto Sans CJK JP"/>
            <w:color w:val="146C70"/>
            <w:sz w:val="16"/>
            <w:u w:val="single"/>
          </w:rPr>
          <w:t>Foundation resource</w:t>
        </w:r>
      </w:hyperlink>
    </w:p>
    <w:p>
      <w:pPr>
        <w:spacing w:after="100" w:line="247" w:lineRule="auto"/>
      </w:pPr>
      <w:r>
        <w:rPr>
          <w:rFonts w:ascii="Inter" w:hAnsi="Inter" w:eastAsia="Noto Sans CJK JP"/>
          <w:sz w:val="17"/>
        </w:rPr>
        <w:t>Observation-led colour exercises and published restrictions on content reuse.</w:t>
      </w:r>
    </w:p>
    <w:p>
      <w:bookmarkStart w:id="50" w:name="ref21"/>
      <w:pPr>
        <w:keepNext/>
        <w:spacing w:before="100" w:after="20"/>
      </w:pPr>
      <w:bookmarkEnd w:id="50"/>
      <w:r>
        <w:rPr>
          <w:rFonts w:ascii="Inter" w:hAnsi="Inter" w:eastAsia="Noto Sans CJK JP"/>
          <w:b/>
          <w:sz w:val="18"/>
        </w:rPr>
        <w:t>[21] Cooper Hewitt, Smithsonian Design Museum · The Chemistry of Color</w:t>
      </w:r>
    </w:p>
    <w:p>
      <w:pPr>
        <w:keepNext/>
        <w:spacing w:after="40"/>
      </w:pPr>
      <w:hyperlink r:id="rId37">
        <w:r>
          <w:rPr>
            <w:rFonts w:ascii="Inter" w:hAnsi="Inter" w:eastAsia="Noto Sans CJK JP"/>
            <w:color w:val="146C70"/>
            <w:sz w:val="16"/>
            <w:u w:val="single"/>
          </w:rPr>
          <w:t>Museum article</w:t>
        </w:r>
      </w:hyperlink>
    </w:p>
    <w:p>
      <w:pPr>
        <w:spacing w:after="100" w:line="247" w:lineRule="auto"/>
      </w:pPr>
      <w:r>
        <w:rPr>
          <w:rFonts w:ascii="Inter" w:hAnsi="Inter" w:eastAsia="Noto Sans CJK JP"/>
          <w:sz w:val="17"/>
        </w:rPr>
        <w:t>Historical context for Ostwald and colour organisation.</w:t>
      </w:r>
    </w:p>
    <w:p>
      <w:bookmarkStart w:id="51" w:name="ref22"/>
      <w:pPr>
        <w:keepNext/>
        <w:spacing w:before="100" w:after="20"/>
      </w:pPr>
      <w:bookmarkEnd w:id="51"/>
      <w:r>
        <w:rPr>
          <w:rFonts w:ascii="Inter" w:hAnsi="Inter" w:eastAsia="Noto Sans CJK JP"/>
          <w:b/>
          <w:sz w:val="18"/>
        </w:rPr>
        <w:t>[22] Seigensha · Sanzo Wada, A Dictionary of Color Combinations</w:t>
      </w:r>
    </w:p>
    <w:p>
      <w:pPr>
        <w:keepNext/>
        <w:spacing w:after="40"/>
      </w:pPr>
      <w:hyperlink r:id="rId38">
        <w:r>
          <w:rPr>
            <w:rFonts w:ascii="Inter" w:hAnsi="Inter" w:eastAsia="Noto Sans CJK JP"/>
            <w:color w:val="146C70"/>
            <w:sz w:val="16"/>
            <w:u w:val="single"/>
          </w:rPr>
          <w:t>Publisher record</w:t>
        </w:r>
      </w:hyperlink>
    </w:p>
    <w:p>
      <w:pPr>
        <w:spacing w:after="100" w:line="247" w:lineRule="auto"/>
      </w:pPr>
      <w:r>
        <w:rPr>
          <w:rFonts w:ascii="Inter" w:hAnsi="Inter" w:eastAsia="Noto Sans CJK JP"/>
          <w:sz w:val="17"/>
        </w:rPr>
        <w:t>2010 edition; publisher describes 348 combinations. Bibliographic verification is not reproduction permission.</w:t>
      </w:r>
    </w:p>
    <w:p>
      <w:bookmarkStart w:id="52" w:name="ref23"/>
      <w:pPr>
        <w:keepNext/>
        <w:spacing w:before="100" w:after="20"/>
      </w:pPr>
      <w:bookmarkEnd w:id="52"/>
      <w:r>
        <w:rPr>
          <w:rFonts w:ascii="Inter" w:hAnsi="Inter" w:eastAsia="Noto Sans CJK JP"/>
          <w:b/>
          <w:sz w:val="18"/>
        </w:rPr>
        <w:t>[23] Seigensha · A Dictionary of Color Combinations, Volume 2</w:t>
      </w:r>
    </w:p>
    <w:p>
      <w:pPr>
        <w:keepNext/>
        <w:spacing w:after="40"/>
      </w:pPr>
      <w:hyperlink r:id="rId39">
        <w:r>
          <w:rPr>
            <w:rFonts w:ascii="Inter" w:hAnsi="Inter" w:eastAsia="Noto Sans CJK JP"/>
            <w:color w:val="146C70"/>
            <w:sz w:val="16"/>
            <w:u w:val="single"/>
          </w:rPr>
          <w:t>Publisher record</w:t>
        </w:r>
      </w:hyperlink>
    </w:p>
    <w:p>
      <w:pPr>
        <w:spacing w:after="100" w:line="247" w:lineRule="auto"/>
      </w:pPr>
      <w:r>
        <w:rPr>
          <w:rFonts w:ascii="Inter" w:hAnsi="Inter" w:eastAsia="Noto Sans CJK JP"/>
          <w:sz w:val="17"/>
        </w:rPr>
        <w:t>Additional Wada material, including seasonally organised combinations; treat as a distinct collection.</w:t>
      </w:r>
    </w:p>
    <w:p>
      <w:bookmarkStart w:id="53" w:name="ref24"/>
      <w:pPr>
        <w:keepNext/>
        <w:spacing w:before="100" w:after="20"/>
      </w:pPr>
      <w:bookmarkEnd w:id="53"/>
      <w:r>
        <w:rPr>
          <w:rFonts w:ascii="Inter" w:hAnsi="Inter" w:eastAsia="Noto Sans CJK JP"/>
          <w:b/>
          <w:sz w:val="18"/>
        </w:rPr>
        <w:t>[24] Seigensha · Layered Colors (New Edition)</w:t>
      </w:r>
    </w:p>
    <w:p>
      <w:pPr>
        <w:keepNext/>
        <w:spacing w:after="40"/>
      </w:pPr>
      <w:hyperlink r:id="rId40">
        <w:r>
          <w:rPr>
            <w:rFonts w:ascii="Inter" w:hAnsi="Inter" w:eastAsia="Noto Sans CJK JP"/>
            <w:color w:val="146C70"/>
            <w:sz w:val="16"/>
            <w:u w:val="single"/>
          </w:rPr>
          <w:t>Publisher record</w:t>
        </w:r>
      </w:hyperlink>
    </w:p>
    <w:p>
      <w:pPr>
        <w:spacing w:after="100" w:line="247" w:lineRule="auto"/>
      </w:pPr>
      <w:r>
        <w:rPr>
          <w:rFonts w:ascii="Inter" w:hAnsi="Inter" w:eastAsia="Noto Sans CJK JP"/>
          <w:sz w:val="17"/>
        </w:rPr>
        <w:t>Publisher’s description of kasane relationships and the specific modern compilation.</w:t>
      </w:r>
    </w:p>
    <w:p>
      <w:r>
        <w:br w:type="page"/>
      </w:r>
    </w:p>
    <w:p>
      <w:pPr>
        <w:spacing w:after="120"/>
      </w:pPr>
      <w:r>
        <w:rPr>
          <w:rFonts w:ascii="Inter" w:hAnsi="Inter" w:eastAsia="Noto Sans CJK JP"/>
          <w:b/>
          <w:color w:val="146C70"/>
          <w:sz w:val="17"/>
        </w:rPr>
        <w:t>SOURCE REGISTER / 3 OF 3</w:t>
      </w:r>
    </w:p>
    <w:p>
      <w:bookmarkStart w:id="54" w:name="sec30"/>
      <w:pPr>
        <w:pStyle w:val="Heading1"/>
      </w:pPr>
      <w:r>
        <w:rPr>
          <w:rFonts w:ascii="Inter" w:hAnsi="Inter" w:eastAsia="Noto Sans CJK JP"/>
        </w:rPr>
        <w:t>References: culture, rights and tools</w:t>
      </w:r>
      <w:bookmarkEnd w:id="54"/>
    </w:p>
    <w:p>
      <w:pPr>
        <w:spacing w:after="200"/>
      </w:pPr>
      <w:r>
        <w:rPr>
          <w:rFonts w:ascii="Inter" w:hAnsi="Inter" w:eastAsia="Noto Sans CJK JP"/>
          <w:color w:val="53626E"/>
          <w:sz w:val="21"/>
        </w:rPr>
        <w:t>Source availability does not establish permission to reproduce images, combinations, text or databases.</w:t>
      </w:r>
    </w:p>
    <w:p>
      <w:bookmarkStart w:id="55" w:name="ref25"/>
      <w:pPr>
        <w:keepNext/>
        <w:spacing w:before="100" w:after="20"/>
      </w:pPr>
      <w:bookmarkEnd w:id="55"/>
      <w:r>
        <w:rPr>
          <w:rFonts w:ascii="Inter" w:hAnsi="Inter" w:eastAsia="Noto Sans CJK JP"/>
          <w:b/>
          <w:sz w:val="18"/>
        </w:rPr>
        <w:t>[25] Japan House London · Colours, Clothing and the Seasons in The Tale of Genji</w:t>
      </w:r>
    </w:p>
    <w:p>
      <w:pPr>
        <w:keepNext/>
        <w:spacing w:after="40"/>
      </w:pPr>
      <w:hyperlink r:id="rId41">
        <w:r>
          <w:rPr>
            <w:rFonts w:ascii="Inter" w:hAnsi="Inter" w:eastAsia="Noto Sans CJK JP"/>
            <w:color w:val="146C70"/>
            <w:sz w:val="16"/>
            <w:u w:val="single"/>
          </w:rPr>
          <w:t>Talk by Dr Jennifer Guest</w:t>
        </w:r>
      </w:hyperlink>
    </w:p>
    <w:p>
      <w:pPr>
        <w:spacing w:after="100" w:line="247" w:lineRule="auto"/>
      </w:pPr>
      <w:r>
        <w:rPr>
          <w:rFonts w:ascii="Inter" w:hAnsi="Inter" w:eastAsia="Noto Sans CJK JP"/>
          <w:sz w:val="17"/>
        </w:rPr>
        <w:t>Scholarly introduction to clothing, season and colour in a specific historical context.</w:t>
      </w:r>
    </w:p>
    <w:p>
      <w:bookmarkStart w:id="56" w:name="ref26"/>
      <w:pPr>
        <w:keepNext/>
        <w:spacing w:before="100" w:after="20"/>
      </w:pPr>
      <w:bookmarkEnd w:id="56"/>
      <w:r>
        <w:rPr>
          <w:rFonts w:ascii="Inter" w:hAnsi="Inter" w:eastAsia="Noto Sans CJK JP"/>
          <w:b/>
          <w:sz w:val="18"/>
        </w:rPr>
        <w:t>[26] Japan House London · Living with Colours</w:t>
      </w:r>
    </w:p>
    <w:p>
      <w:pPr>
        <w:keepNext/>
        <w:spacing w:after="40"/>
      </w:pPr>
      <w:hyperlink r:id="rId42">
        <w:r>
          <w:rPr>
            <w:rFonts w:ascii="Inter" w:hAnsi="Inter" w:eastAsia="Noto Sans CJK JP"/>
            <w:color w:val="146C70"/>
            <w:sz w:val="16"/>
            <w:u w:val="single"/>
          </w:rPr>
          <w:t>Talk by Yoshioka Sachio</w:t>
        </w:r>
      </w:hyperlink>
    </w:p>
    <w:p>
      <w:pPr>
        <w:spacing w:after="100" w:line="247" w:lineRule="auto"/>
      </w:pPr>
      <w:r>
        <w:rPr>
          <w:rFonts w:ascii="Inter" w:hAnsi="Inter" w:eastAsia="Noto Sans CJK JP"/>
          <w:sz w:val="17"/>
        </w:rPr>
        <w:t>Practitioner-led source route for natural dyeing and material context.</w:t>
      </w:r>
    </w:p>
    <w:p>
      <w:bookmarkStart w:id="57" w:name="ref27"/>
      <w:pPr>
        <w:keepNext/>
        <w:spacing w:before="100" w:after="20"/>
      </w:pPr>
      <w:bookmarkEnd w:id="57"/>
      <w:r>
        <w:rPr>
          <w:rFonts w:ascii="Inter" w:hAnsi="Inter" w:eastAsia="Noto Sans CJK JP"/>
          <w:b/>
          <w:sz w:val="18"/>
        </w:rPr>
        <w:t>[27] Seigensha · Copyrighted materials</w:t>
      </w:r>
    </w:p>
    <w:p>
      <w:pPr>
        <w:keepNext/>
        <w:spacing w:after="40"/>
      </w:pPr>
      <w:hyperlink r:id="rId43">
        <w:r>
          <w:rPr>
            <w:rFonts w:ascii="Inter" w:hAnsi="Inter" w:eastAsia="Noto Sans CJK JP"/>
            <w:color w:val="146C70"/>
            <w:sz w:val="16"/>
            <w:u w:val="single"/>
          </w:rPr>
          <w:t>Permissions guidance</w:t>
        </w:r>
      </w:hyperlink>
    </w:p>
    <w:p>
      <w:pPr>
        <w:spacing w:after="100" w:line="247" w:lineRule="auto"/>
      </w:pPr>
      <w:r>
        <w:rPr>
          <w:rFonts w:ascii="Inter" w:hAnsi="Inter" w:eastAsia="Noto Sans CJK JP"/>
          <w:sz w:val="17"/>
        </w:rPr>
        <w:t>Publisher’s reuse requirements; obtain permission appropriate to the intended product use.</w:t>
      </w:r>
    </w:p>
    <w:p>
      <w:bookmarkStart w:id="58" w:name="ref28"/>
      <w:pPr>
        <w:keepNext/>
        <w:spacing w:before="100" w:after="20"/>
      </w:pPr>
      <w:bookmarkEnd w:id="58"/>
      <w:r>
        <w:rPr>
          <w:rFonts w:ascii="Inter" w:hAnsi="Inter" w:eastAsia="Noto Sans CJK JP"/>
          <w:b/>
          <w:sz w:val="18"/>
        </w:rPr>
        <w:t>[28] Ronnie Littlejohn · Wuxing, Internet Encyclopedia of Philosophy</w:t>
      </w:r>
    </w:p>
    <w:p>
      <w:pPr>
        <w:keepNext/>
        <w:spacing w:after="40"/>
      </w:pPr>
      <w:hyperlink r:id="rId44">
        <w:r>
          <w:rPr>
            <w:rFonts w:ascii="Inter" w:hAnsi="Inter" w:eastAsia="Noto Sans CJK JP"/>
            <w:color w:val="146C70"/>
            <w:sz w:val="16"/>
            <w:u w:val="single"/>
          </w:rPr>
          <w:t>Scholarly overview</w:t>
        </w:r>
      </w:hyperlink>
    </w:p>
    <w:p>
      <w:pPr>
        <w:spacing w:after="100" w:line="247" w:lineRule="auto"/>
      </w:pPr>
      <w:r>
        <w:rPr>
          <w:rFonts w:ascii="Inter" w:hAnsi="Inter" w:eastAsia="Noto Sans CJK JP"/>
          <w:sz w:val="17"/>
        </w:rPr>
        <w:t>Five Phases, historical development, correspondences and relational schemes.</w:t>
      </w:r>
    </w:p>
    <w:p>
      <w:bookmarkStart w:id="59" w:name="ref29"/>
      <w:pPr>
        <w:keepNext/>
        <w:spacing w:before="100" w:after="20"/>
      </w:pPr>
      <w:bookmarkEnd w:id="59"/>
      <w:r>
        <w:rPr>
          <w:rFonts w:ascii="Inter" w:hAnsi="Inter" w:eastAsia="Noto Sans CJK JP"/>
          <w:b/>
          <w:sz w:val="18"/>
        </w:rPr>
        <w:t>[29] Sun Museum · The Place, Tang Ying Chi exhibition (2021)</w:t>
      </w:r>
    </w:p>
    <w:p>
      <w:pPr>
        <w:keepNext/>
        <w:spacing w:after="40"/>
      </w:pPr>
      <w:hyperlink r:id="rId45">
        <w:r>
          <w:rPr>
            <w:rFonts w:ascii="Inter" w:hAnsi="Inter" w:eastAsia="Noto Sans CJK JP"/>
            <w:color w:val="146C70"/>
            <w:sz w:val="16"/>
            <w:u w:val="single"/>
          </w:rPr>
          <w:t>Museum exhibition text</w:t>
        </w:r>
      </w:hyperlink>
    </w:p>
    <w:p>
      <w:pPr>
        <w:spacing w:after="100" w:line="247" w:lineRule="auto"/>
      </w:pPr>
      <w:r>
        <w:rPr>
          <w:rFonts w:ascii="Inter" w:hAnsi="Inter" w:eastAsia="Noto Sans CJK JP"/>
          <w:sz w:val="17"/>
        </w:rPr>
        <w:t>Institutional account connecting traditional colour categories and phases with a contemporary exhibition.</w:t>
      </w:r>
    </w:p>
    <w:p>
      <w:bookmarkStart w:id="60" w:name="ref30"/>
      <w:pPr>
        <w:keepNext/>
        <w:spacing w:before="100" w:after="20"/>
      </w:pPr>
      <w:bookmarkEnd w:id="60"/>
      <w:r>
        <w:rPr>
          <w:rFonts w:ascii="Inter" w:hAnsi="Inter" w:eastAsia="Noto Sans CJK JP"/>
          <w:b/>
          <w:sz w:val="18"/>
        </w:rPr>
        <w:t>[30] Getty Conservation Institute · Wall Paintings Conservation at Mogao Grottoes</w:t>
      </w:r>
    </w:p>
    <w:p>
      <w:pPr>
        <w:keepNext/>
        <w:spacing w:after="40"/>
      </w:pPr>
      <w:hyperlink r:id="rId46">
        <w:r>
          <w:rPr>
            <w:rFonts w:ascii="Inter" w:hAnsi="Inter" w:eastAsia="Noto Sans CJK JP"/>
            <w:color w:val="146C70"/>
            <w:sz w:val="16"/>
            <w:u w:val="single"/>
          </w:rPr>
          <w:t>Project record</w:t>
        </w:r>
      </w:hyperlink>
    </w:p>
    <w:p>
      <w:pPr>
        <w:spacing w:after="100" w:line="247" w:lineRule="auto"/>
      </w:pPr>
      <w:r>
        <w:rPr>
          <w:rFonts w:ascii="Inter" w:hAnsi="Inter" w:eastAsia="Noto Sans CJK JP"/>
          <w:sz w:val="17"/>
        </w:rPr>
        <w:t>Potential object/conservation evidence route; not an imported Chinese colour-chip database.</w:t>
      </w:r>
    </w:p>
    <w:p>
      <w:bookmarkStart w:id="61" w:name="ref31"/>
      <w:pPr>
        <w:keepNext/>
        <w:spacing w:before="100" w:after="20"/>
      </w:pPr>
      <w:bookmarkEnd w:id="61"/>
      <w:r>
        <w:rPr>
          <w:rFonts w:ascii="Inter" w:hAnsi="Inter" w:eastAsia="Noto Sans CJK JP"/>
          <w:b/>
          <w:sz w:val="18"/>
        </w:rPr>
        <w:t>[31] Color.js · Documentation index</w:t>
      </w:r>
    </w:p>
    <w:p>
      <w:pPr>
        <w:keepNext/>
        <w:spacing w:after="40"/>
      </w:pPr>
      <w:hyperlink r:id="rId47">
        <w:r>
          <w:rPr>
            <w:rFonts w:ascii="Inter" w:hAnsi="Inter" w:eastAsia="Noto Sans CJK JP"/>
            <w:color w:val="146C70"/>
            <w:sz w:val="16"/>
            <w:u w:val="single"/>
          </w:rPr>
          <w:t>Library documentation</w:t>
        </w:r>
      </w:hyperlink>
    </w:p>
    <w:p>
      <w:pPr>
        <w:spacing w:after="100" w:line="247" w:lineRule="auto"/>
      </w:pPr>
      <w:r>
        <w:rPr>
          <w:rFonts w:ascii="Inter" w:hAnsi="Inter" w:eastAsia="Noto Sans CJK JP"/>
          <w:sz w:val="17"/>
        </w:rPr>
        <w:t>Candidate browser colour engine. Technical feasibility and version selection remain implementation tasks.</w:t>
      </w:r>
    </w:p>
    <w:p>
      <w:bookmarkStart w:id="62" w:name="ref32"/>
      <w:pPr>
        <w:keepNext/>
        <w:spacing w:before="100" w:after="20"/>
      </w:pPr>
      <w:bookmarkEnd w:id="62"/>
      <w:r>
        <w:rPr>
          <w:rFonts w:ascii="Inter" w:hAnsi="Inter" w:eastAsia="Noto Sans CJK JP"/>
          <w:b/>
          <w:sz w:val="18"/>
        </w:rPr>
        <w:t>[32] Colour Developers · Colour documentation</w:t>
      </w:r>
    </w:p>
    <w:p>
      <w:pPr>
        <w:keepNext/>
        <w:spacing w:after="40"/>
      </w:pPr>
      <w:hyperlink r:id="rId48">
        <w:r>
          <w:rPr>
            <w:rFonts w:ascii="Inter" w:hAnsi="Inter" w:eastAsia="Noto Sans CJK JP"/>
            <w:color w:val="146C70"/>
            <w:sz w:val="16"/>
            <w:u w:val="single"/>
          </w:rPr>
          <w:t>Library documentation</w:t>
        </w:r>
      </w:hyperlink>
    </w:p>
    <w:p>
      <w:pPr>
        <w:spacing w:after="100" w:line="247" w:lineRule="auto"/>
      </w:pPr>
      <w:r>
        <w:rPr>
          <w:rFonts w:ascii="Inter" w:hAnsi="Inter" w:eastAsia="Noto Sans CJK JP"/>
          <w:sz w:val="17"/>
        </w:rPr>
        <w:t>Candidate scientific Python toolkit. The documentation channel is not a commitment to a release version.</w:t>
      </w:r>
    </w:p>
    <w:p>
      <w:bookmarkStart w:id="63" w:name="ref33"/>
      <w:pPr>
        <w:keepNext/>
        <w:spacing w:before="100" w:after="20"/>
      </w:pPr>
      <w:bookmarkEnd w:id="63"/>
      <w:r>
        <w:rPr>
          <w:rFonts w:ascii="Inter" w:hAnsi="Inter" w:eastAsia="Noto Sans CJK JP"/>
          <w:b/>
          <w:sz w:val="18"/>
        </w:rPr>
        <w:t>[33] Adobe · Adobe Color wheel</w:t>
      </w:r>
    </w:p>
    <w:p>
      <w:pPr>
        <w:keepNext/>
        <w:spacing w:after="40"/>
      </w:pPr>
      <w:hyperlink r:id="rId49">
        <w:r>
          <w:rPr>
            <w:rFonts w:ascii="Inter" w:hAnsi="Inter" w:eastAsia="Noto Sans CJK JP"/>
            <w:color w:val="146C70"/>
            <w:sz w:val="16"/>
            <w:u w:val="single"/>
          </w:rPr>
          <w:t>Colour-wheel tool</w:t>
        </w:r>
      </w:hyperlink>
    </w:p>
    <w:p>
      <w:pPr>
        <w:spacing w:after="100" w:line="247" w:lineRule="auto"/>
      </w:pPr>
      <w:r>
        <w:rPr>
          <w:rFonts w:ascii="Inter" w:hAnsi="Inter" w:eastAsia="Noto Sans CJK JP"/>
          <w:sz w:val="17"/>
        </w:rPr>
        <w:t>Reference interface for palette and harmony exploration; no API commitment implied.</w:t>
      </w:r>
    </w:p>
    <w:p>
      <w:bookmarkStart w:id="64" w:name="ref34"/>
      <w:pPr>
        <w:keepNext/>
        <w:spacing w:before="100" w:after="20"/>
      </w:pPr>
      <w:bookmarkEnd w:id="64"/>
      <w:r>
        <w:rPr>
          <w:rFonts w:ascii="Inter" w:hAnsi="Inter" w:eastAsia="Noto Sans CJK JP"/>
          <w:b/>
          <w:sz w:val="18"/>
        </w:rPr>
        <w:t>[34] Paletton · Colour scheme designer</w:t>
      </w:r>
    </w:p>
    <w:p>
      <w:pPr>
        <w:keepNext/>
        <w:spacing w:after="40"/>
      </w:pPr>
      <w:hyperlink r:id="rId50">
        <w:r>
          <w:rPr>
            <w:rFonts w:ascii="Inter" w:hAnsi="Inter" w:eastAsia="Noto Sans CJK JP"/>
            <w:color w:val="146C70"/>
            <w:sz w:val="16"/>
            <w:u w:val="single"/>
          </w:rPr>
          <w:t>Tool</w:t>
        </w:r>
      </w:hyperlink>
    </w:p>
    <w:p>
      <w:pPr>
        <w:spacing w:after="100" w:line="247" w:lineRule="auto"/>
      </w:pPr>
      <w:r>
        <w:rPr>
          <w:rFonts w:ascii="Inter" w:hAnsi="Inter" w:eastAsia="Noto Sans CJK JP"/>
          <w:sz w:val="17"/>
        </w:rPr>
        <w:t>Reference interface for adjustable colour relationships.</w:t>
      </w:r>
    </w:p>
    <w:p>
      <w:bookmarkStart w:id="65" w:name="ref35"/>
      <w:pPr>
        <w:keepNext/>
        <w:spacing w:before="100" w:after="20"/>
      </w:pPr>
      <w:bookmarkEnd w:id="65"/>
      <w:r>
        <w:rPr>
          <w:rFonts w:ascii="Inter" w:hAnsi="Inter" w:eastAsia="Noto Sans CJK JP"/>
          <w:b/>
          <w:sz w:val="18"/>
        </w:rPr>
        <w:t>[35] Color Hunt · Palette collection</w:t>
      </w:r>
    </w:p>
    <w:p>
      <w:pPr>
        <w:keepNext/>
        <w:spacing w:after="40"/>
      </w:pPr>
      <w:hyperlink r:id="rId51">
        <w:r>
          <w:rPr>
            <w:rFonts w:ascii="Inter" w:hAnsi="Inter" w:eastAsia="Noto Sans CJK JP"/>
            <w:color w:val="146C70"/>
            <w:sz w:val="16"/>
            <w:u w:val="single"/>
          </w:rPr>
          <w:t>Collection</w:t>
        </w:r>
      </w:hyperlink>
    </w:p>
    <w:p>
      <w:pPr>
        <w:spacing w:after="100" w:line="247" w:lineRule="auto"/>
      </w:pPr>
      <w:r>
        <w:rPr>
          <w:rFonts w:ascii="Inter" w:hAnsi="Inter" w:eastAsia="Noto Sans CJK JP"/>
          <w:sz w:val="17"/>
        </w:rPr>
        <w:t>Reference for palette browsing; discovery is distinct from provenance or permission to republish.</w:t>
      </w:r>
    </w:p>
    <w:sectPr w:rsidR="00FC693F" w:rsidRPr="0006063C" w:rsidSect="00034616">
      <w:headerReference w:type="default" r:id="rId9"/>
      <w:footerReference w:type="default" r:id="rId10"/>
      <w:pgSz w:w="11905" w:h="16838"/>
      <w:pgMar w:top="994" w:right="1037" w:bottom="922"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32" w:val="right"/>
      </w:tabs>
    </w:pPr>
    <w:r>
      <w:rPr>
        <w:rFonts w:ascii="Inter" w:hAnsi="Inter" w:eastAsia="Noto Sans CJK JP"/>
        <w:color w:val="53626E"/>
        <w:sz w:val="16"/>
      </w:rPr>
      <w:t>Working reference · 27 September 2026</w:t>
    </w:r>
    <w:r>
      <w:rPr>
        <w:rFonts w:ascii="Inter" w:hAnsi="Inter" w:eastAsia="Noto Sans CJK JP"/>
        <w:sz w:val="16"/>
      </w:rP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32" w:val="right"/>
      </w:tabs>
    </w:pPr>
    <w:r>
      <w:rPr>
        <w:rFonts w:ascii="Inter" w:hAnsi="Inter" w:eastAsia="Noto Sans CJK JP"/>
        <w:b/>
        <w:color w:val="173146"/>
        <w:sz w:val="16"/>
      </w:rPr>
      <w:t>SUPER COLOUR APP</w:t>
    </w:r>
    <w:r>
      <w:rPr>
        <w:rFonts w:ascii="Inter" w:hAnsi="Inter" w:eastAsia="Noto Sans CJK JP"/>
        <w:color w:val="53626E"/>
        <w:sz w:val="15"/>
      </w:rPr>
      <w:tab/>
      <w:t>KNOWLEDGE &amp; PRODUCT FOUNDATION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Inter" w:hAnsi="Inter" w:eastAsia="Noto Sans CJK JP"/>
      <w:color w:val="243640"/>
      <w:sz w:val="21"/>
      <w:lang w:val="en-GB"/>
    </w:rPr>
  </w:style>
  <w:style w:type="paragraph" w:styleId="Header">
    <w:name w:val="header"/>
    <w:basedOn w:val="Normal"/>
    <w:link w:val="HeaderChar"/>
    <w:uiPriority w:val="99"/>
    <w:unhideWhenUsed/>
    <w:rsid w:val="00E618BF"/>
    <w:pPr>
      <w:tabs>
        <w:tab w:val="center" w:pos="4680"/>
        <w:tab w:val="right" w:pos="9360"/>
      </w:tabs>
      <w:spacing w:after="60" w:line="240" w:lineRule="auto"/>
    </w:pPr>
    <w:rPr>
      <w:rFonts w:ascii="Inter" w:hAnsi="Inter"/>
      <w:color w:val="173146"/>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60" w:line="240" w:lineRule="auto"/>
    </w:pPr>
    <w:rPr>
      <w:rFonts w:ascii="Inter" w:hAnsi="Inter"/>
      <w:color w:val="53626E"/>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50" w:lineRule="auto"/>
      <w:outlineLvl w:val="0"/>
    </w:pPr>
    <w:rPr>
      <w:rFonts w:asciiTheme="majorHAnsi" w:eastAsiaTheme="majorEastAsia" w:hAnsiTheme="majorHAnsi" w:cstheme="majorBidi" w:ascii="Inter" w:hAnsi="Inter"/>
      <w:b/>
      <w:bCs/>
      <w:color w:val="173146"/>
      <w:sz w:val="44"/>
      <w:szCs w:val="28"/>
    </w:rPr>
  </w:style>
  <w:style w:type="paragraph" w:styleId="Heading2">
    <w:name w:val="heading 2"/>
    <w:basedOn w:val="Normal"/>
    <w:next w:val="Normal"/>
    <w:link w:val="Heading2Char"/>
    <w:uiPriority w:val="9"/>
    <w:unhideWhenUsed/>
    <w:qFormat/>
    <w:rsid w:val="00FC693F"/>
    <w:pPr>
      <w:keepNext/>
      <w:keepLines/>
      <w:spacing w:before="200" w:after="120" w:line="250" w:lineRule="auto"/>
      <w:outlineLvl w:val="1"/>
    </w:pPr>
    <w:rPr>
      <w:rFonts w:asciiTheme="majorHAnsi" w:eastAsiaTheme="majorEastAsia" w:hAnsiTheme="majorHAnsi" w:cstheme="majorBidi" w:ascii="Inter" w:hAnsi="Inter"/>
      <w:b/>
      <w:bCs/>
      <w:color w:val="146C7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50" w:lineRule="auto"/>
      <w:outlineLvl w:val="2"/>
    </w:pPr>
    <w:rPr>
      <w:rFonts w:asciiTheme="majorHAnsi" w:eastAsiaTheme="majorEastAsia" w:hAnsiTheme="majorHAnsi" w:cstheme="majorBidi" w:ascii="Inter" w:hAnsi="Inter"/>
      <w:b/>
      <w:bCs/>
      <w:color w:val="1731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50" w:lineRule="auto" w:before="200"/>
      <w:contextualSpacing/>
    </w:pPr>
    <w:rPr>
      <w:rFonts w:asciiTheme="majorHAnsi" w:eastAsiaTheme="majorEastAsia" w:hAnsiTheme="majorHAnsi" w:cstheme="majorBidi" w:ascii="Inter" w:hAnsi="Inter"/>
      <w:b w:val="0"/>
      <w:color w:val="173146"/>
      <w:spacing w:val="5"/>
      <w:kern w:val="28"/>
      <w:sz w:val="8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line="250" w:lineRule="auto"/>
    </w:pPr>
    <w:rPr>
      <w:rFonts w:asciiTheme="majorHAnsi" w:eastAsiaTheme="majorEastAsia" w:hAnsiTheme="majorHAnsi" w:cstheme="majorBidi" w:ascii="Inter" w:hAnsi="Inter"/>
      <w:b w:val="0"/>
      <w:i/>
      <w:iCs/>
      <w:color w:val="53626E"/>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Inter" w:hAnsi="Inter" w:eastAsia="Noto Sans CJK JP"/>
      <w:color w:val="24364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60"/>
    </w:pPr>
    <w:rPr>
      <w:rFonts w:ascii="Inter" w:hAnsi="Inter"/>
      <w:b w:val="0"/>
      <w:bCs/>
      <w:i w:val="0"/>
      <w:color w:val="53626E"/>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ie.co.at/eilvterm/17-22-067" TargetMode="External"/><Relationship Id="rId12" Type="http://schemas.openxmlformats.org/officeDocument/2006/relationships/hyperlink" Target="https://cie.co.at/eilvterm/17-22-059" TargetMode="External"/><Relationship Id="rId13" Type="http://schemas.openxmlformats.org/officeDocument/2006/relationships/hyperlink" Target="https://cie.co.at/eilvterm/17-22-063" TargetMode="External"/><Relationship Id="rId14" Type="http://schemas.openxmlformats.org/officeDocument/2006/relationships/hyperlink" Target="https://cie.co.at/eilvterm/17-22-074" TargetMode="External"/><Relationship Id="rId15" Type="http://schemas.openxmlformats.org/officeDocument/2006/relationships/hyperlink" Target="https://cie.co.at/eilvterm/17-22-073" TargetMode="External"/><Relationship Id="rId16" Type="http://schemas.openxmlformats.org/officeDocument/2006/relationships/hyperlink" Target="https://cie.co.at/eilvterm/17-22-075" TargetMode="External"/><Relationship Id="rId17" Type="http://schemas.openxmlformats.org/officeDocument/2006/relationships/hyperlink" Target="https://cie.co.at/e-ilv" TargetMode="External"/><Relationship Id="rId18" Type="http://schemas.openxmlformats.org/officeDocument/2006/relationships/hyperlink" Target="https://cie.co.at/eilvterm/17-23-076" TargetMode="External"/><Relationship Id="rId19" Type="http://schemas.openxmlformats.org/officeDocument/2006/relationships/hyperlink" Target="https://cie.co.at/eilvterm/17-23-006" TargetMode="External"/><Relationship Id="rId20" Type="http://schemas.openxmlformats.org/officeDocument/2006/relationships/hyperlink" Target="https://cie.co.at/eilvterm/17-23-027" TargetMode="External"/><Relationship Id="rId21" Type="http://schemas.openxmlformats.org/officeDocument/2006/relationships/hyperlink" Target="https://cie.co.at/eilvterm/17-23-068" TargetMode="External"/><Relationship Id="rId22" Type="http://schemas.openxmlformats.org/officeDocument/2006/relationships/hyperlink" Target="https://www.w3.org/TR/css-color-4/" TargetMode="External"/><Relationship Id="rId23" Type="http://schemas.openxmlformats.org/officeDocument/2006/relationships/hyperlink" Target="https://bottosson.github.io/posts/oklab/" TargetMode="External"/><Relationship Id="rId24" Type="http://schemas.openxmlformats.org/officeDocument/2006/relationships/hyperlink" Target="https://colorjs.io/docs/spaces" TargetMode="External"/><Relationship Id="rId25" Type="http://schemas.openxmlformats.org/officeDocument/2006/relationships/hyperlink" Target="https://colorjs.io/docs/gamut-mapping" TargetMode="External"/><Relationship Id="rId26" Type="http://schemas.openxmlformats.org/officeDocument/2006/relationships/hyperlink" Target="https://colorjs.io/docs/color-difference" TargetMode="External"/><Relationship Id="rId27" Type="http://schemas.openxmlformats.org/officeDocument/2006/relationships/hyperlink" Target="https://colorjs.io/docs/interpolation" TargetMode="External"/><Relationship Id="rId28" Type="http://schemas.openxmlformats.org/officeDocument/2006/relationships/hyperlink" Target="https://www.color.org/faqs/" TargetMode="External"/><Relationship Id="rId29" Type="http://schemas.openxmlformats.org/officeDocument/2006/relationships/hyperlink" Target="https://colour.readthedocs.io/en/develop/generated/colour.sd_to_XYZ.html" TargetMode="External"/><Relationship Id="rId30" Type="http://schemas.openxmlformats.org/officeDocument/2006/relationships/hyperlink" Target="https://opencolorio.org/" TargetMode="External"/><Relationship Id="rId31" Type="http://schemas.openxmlformats.org/officeDocument/2006/relationships/hyperlink" Target="https://www.w3.org/WAI/WCAG22/Understanding/contrast-minimum.html" TargetMode="External"/><Relationship Id="rId32" Type="http://schemas.openxmlformats.org/officeDocument/2006/relationships/hyperlink" Target="https://www.w3.org/WAI/WCAG22/Understanding/use-of-color.html" TargetMode="External"/><Relationship Id="rId33" Type="http://schemas.openxmlformats.org/officeDocument/2006/relationships/hyperlink" Target="https://www.gutenberg.org/files/26054/26054-h/26054-h.htm" TargetMode="External"/><Relationship Id="rId34" Type="http://schemas.openxmlformats.org/officeDocument/2006/relationships/hyperlink" Target="https://mitpress.mit.edu/9780262570213/theory-of-colours/" TargetMode="External"/><Relationship Id="rId35" Type="http://schemas.openxmlformats.org/officeDocument/2006/relationships/hyperlink" Target="https://www.getty.edu/research/exhibitions_events/exhibitions/bauhaus/new_artist/form_color/color/" TargetMode="External"/><Relationship Id="rId36" Type="http://schemas.openxmlformats.org/officeDocument/2006/relationships/hyperlink" Target="https://www.albersfoundation.org/alberses/teaching" TargetMode="External"/><Relationship Id="rId37" Type="http://schemas.openxmlformats.org/officeDocument/2006/relationships/hyperlink" Target="https://www.cooperhewitt.org/2018/05/09/the-chemistry-of-color/" TargetMode="External"/><Relationship Id="rId38" Type="http://schemas.openxmlformats.org/officeDocument/2006/relationships/hyperlink" Target="https://en.seigensha.com/books/978-4-86152-247-5/" TargetMode="External"/><Relationship Id="rId39" Type="http://schemas.openxmlformats.org/officeDocument/2006/relationships/hyperlink" Target="https://en.seigensha.com/books/978-4-86152-772-2/" TargetMode="External"/><Relationship Id="rId40" Type="http://schemas.openxmlformats.org/officeDocument/2006/relationships/hyperlink" Target="https://en.seigensha.com/books/978-4-86152-072-3/" TargetMode="External"/><Relationship Id="rId41" Type="http://schemas.openxmlformats.org/officeDocument/2006/relationships/hyperlink" Target="https://www.japanhouselondon.uk/whats-on/colours-clothing-and-the-seasons-in-the-tale-of-genji-a-talk-by-dr-jennifer-guest/" TargetMode="External"/><Relationship Id="rId42" Type="http://schemas.openxmlformats.org/officeDocument/2006/relationships/hyperlink" Target="https://www.japanhouselondon.uk/whats-on/living-with-colours-talk-by-5th-generation-master-dyer-yoshioka-sachio/" TargetMode="External"/><Relationship Id="rId43" Type="http://schemas.openxmlformats.org/officeDocument/2006/relationships/hyperlink" Target="https://en.seigensha.com/copyrighted-materials/" TargetMode="External"/><Relationship Id="rId44" Type="http://schemas.openxmlformats.org/officeDocument/2006/relationships/hyperlink" Target="https://iep.utm.edu/wuxing/" TargetMode="External"/><Relationship Id="rId45" Type="http://schemas.openxmlformats.org/officeDocument/2006/relationships/hyperlink" Target="https://www.en.sunmuseum.org.hk/exhibition/theplace" TargetMode="External"/><Relationship Id="rId46" Type="http://schemas.openxmlformats.org/officeDocument/2006/relationships/hyperlink" Target="https://www.getty.edu/projects/wall-paintings-conservation-mogao-grottoes/" TargetMode="External"/><Relationship Id="rId47" Type="http://schemas.openxmlformats.org/officeDocument/2006/relationships/hyperlink" Target="https://colorjs.io/docs/" TargetMode="External"/><Relationship Id="rId48" Type="http://schemas.openxmlformats.org/officeDocument/2006/relationships/hyperlink" Target="https://colour.readthedocs.io/en/latest/" TargetMode="External"/><Relationship Id="rId49" Type="http://schemas.openxmlformats.org/officeDocument/2006/relationships/hyperlink" Target="https://color.adobe.com/create/color-wheel" TargetMode="External"/><Relationship Id="rId50" Type="http://schemas.openxmlformats.org/officeDocument/2006/relationships/hyperlink" Target="https://paletton.com/" TargetMode="External"/><Relationship Id="rId51" Type="http://schemas.openxmlformats.org/officeDocument/2006/relationships/hyperlink" Target="https://colorhunt.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 Colour App — Colour Knowledge &amp; Product Foundation</dc:title>
  <dc:subject>Research-backed initial colour reference and application requirements</dc:subject>
  <dc:creator>Super Colour App project</dc:creator>
  <cp:keywords>colour science, fashion, Japanese colour, Chinese colour, palette laboratory, product specification</cp:keywords>
  <dc:description>Version 0.1. Working reference and proposed requirements. 27 September 2026.</dc:description>
  <cp:lastModifiedBy/>
  <cp:revision>1</cp:revision>
  <dcterms:created xsi:type="dcterms:W3CDTF">2013-12-23T23:15:00Z</dcterms:created>
  <dcterms:modified xsi:type="dcterms:W3CDTF">2013-12-23T23:15:00Z</dcterms:modified>
  <cp:category/>
</cp:coreProperties>
</file>