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9331" w14:textId="1A1B0204" w:rsidR="00AB31E8" w:rsidRDefault="00BF0733">
      <w:r>
        <w:t>INFO-B 636 Assignment 2</w:t>
      </w:r>
    </w:p>
    <w:p w14:paraId="5A2BD9E5" w14:textId="5A349BFF" w:rsidR="00BF0733" w:rsidRDefault="00BF0733">
      <w:r>
        <w:t>Matthew Ng</w:t>
      </w:r>
    </w:p>
    <w:p w14:paraId="609D536C" w14:textId="519BA4B9" w:rsidR="00BF0733" w:rsidRDefault="00BF0733">
      <w:r>
        <w:t>Report</w:t>
      </w:r>
    </w:p>
    <w:p w14:paraId="56D17E6D" w14:textId="57B0BC0A" w:rsidR="00BF0733" w:rsidRDefault="00BF0733">
      <w:r>
        <w:t xml:space="preserve">After </w:t>
      </w:r>
      <w:proofErr w:type="spellStart"/>
      <w:r>
        <w:t>featureCounts</w:t>
      </w:r>
      <w:proofErr w:type="spellEnd"/>
      <w:r>
        <w:t xml:space="preserve">, the output files were moved to RStudio for differential gene expression analysis via DESeq2. GO enrichment analysis was performed thereafter. </w:t>
      </w:r>
    </w:p>
    <w:p w14:paraId="7B3F1223" w14:textId="77777777" w:rsidR="00BF0733" w:rsidRDefault="00BF0733">
      <w:r>
        <w:t xml:space="preserve">The threshold values used for the DESeq2 analysis were </w:t>
      </w:r>
      <w:proofErr w:type="spellStart"/>
      <w:r>
        <w:t>padj</w:t>
      </w:r>
      <w:proofErr w:type="spellEnd"/>
      <w:r>
        <w:t xml:space="preserve"> &lt; 0.05 and abs(log2FoldChange) &gt;= 1. Based on these values, the number of DEGs between Mock vs SARS-CoV2 was 48. The number of DEGs between 24H vs 72H was 142. </w:t>
      </w:r>
    </w:p>
    <w:p w14:paraId="28C1C8A4" w14:textId="59000105" w:rsidR="00BF0733" w:rsidRDefault="00BF0733">
      <w:r>
        <w:t xml:space="preserve">The GO enrichment analysis resulted in two csv files where each row contains an enriched GO term in the ontology. The columns contain information such as </w:t>
      </w:r>
      <w:r>
        <w:t>GO ID, description, gene counts, p-values, adjusted p-values, and gene lists</w:t>
      </w:r>
      <w:r>
        <w:t xml:space="preserve">. </w:t>
      </w:r>
      <w:r w:rsidR="00D37DA3">
        <w:t xml:space="preserve">The csv files will be submitted along with the rest of the required files. </w:t>
      </w:r>
      <w:r>
        <w:t xml:space="preserve">The analysis also generated two dot plots for each of the comparisons.  </w:t>
      </w:r>
    </w:p>
    <w:p w14:paraId="65B07EEA" w14:textId="62359C4E" w:rsidR="00BF0733" w:rsidRDefault="00BF0733">
      <w:r>
        <w:t xml:space="preserve">Figure 1: </w:t>
      </w:r>
      <w:r w:rsidRPr="00BF0733">
        <w:drawing>
          <wp:inline distT="0" distB="0" distL="0" distR="0" wp14:anchorId="3DBA39EC" wp14:editId="0A784A3D">
            <wp:extent cx="5943600" cy="3853815"/>
            <wp:effectExtent l="0" t="0" r="0" b="0"/>
            <wp:docPr id="1552930678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0678" name="Picture 1" descr="A graph with numbers and dot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D5C4" w14:textId="77777777" w:rsidR="00D37DA3" w:rsidRDefault="00D37DA3"/>
    <w:p w14:paraId="1BA9EA3F" w14:textId="77777777" w:rsidR="00D37DA3" w:rsidRDefault="00D37DA3"/>
    <w:p w14:paraId="7AFEF715" w14:textId="77777777" w:rsidR="00D37DA3" w:rsidRDefault="00D37DA3"/>
    <w:p w14:paraId="6BF300D1" w14:textId="608C21F1" w:rsidR="00BF0733" w:rsidRDefault="00BF0733">
      <w:r>
        <w:t>Figure 2:</w:t>
      </w:r>
    </w:p>
    <w:p w14:paraId="2B9C3AAC" w14:textId="2DB0D1D7" w:rsidR="00BF0733" w:rsidRDefault="00D37DA3">
      <w:r w:rsidRPr="00D37DA3">
        <w:drawing>
          <wp:inline distT="0" distB="0" distL="0" distR="0" wp14:anchorId="736F00BD" wp14:editId="767A9195">
            <wp:extent cx="5943600" cy="3734435"/>
            <wp:effectExtent l="0" t="0" r="0" b="0"/>
            <wp:docPr id="157869163" name="Picture 1" descr="A graph with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9163" name="Picture 1" descr="A graph with red and blue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2773" w14:textId="280B84D1" w:rsidR="00D37DA3" w:rsidRDefault="00D37DA3">
      <w:r>
        <w:t xml:space="preserve">These two figures visualize the top GO terms by enrichment. Figure 1 is the output of Mock vs SARS-CoV2 based on cellular component ontology while Figure 2 is the output of 24H vs 72H based on biological processes ontology. </w:t>
      </w:r>
    </w:p>
    <w:sectPr w:rsidR="00D37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33"/>
    <w:rsid w:val="000147DC"/>
    <w:rsid w:val="000247E9"/>
    <w:rsid w:val="00A15603"/>
    <w:rsid w:val="00AB31E8"/>
    <w:rsid w:val="00BF0733"/>
    <w:rsid w:val="00D37DA3"/>
    <w:rsid w:val="00F34669"/>
    <w:rsid w:val="00F83A88"/>
    <w:rsid w:val="00F9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84A77"/>
  <w15:chartTrackingRefBased/>
  <w15:docId w15:val="{4BCDA2C2-6D78-144C-BD59-F4DFF0CC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Ng, Matthew Z</dc:creator>
  <cp:keywords/>
  <dc:description/>
  <cp:lastModifiedBy>Ng, Matthew Z</cp:lastModifiedBy>
  <cp:revision>1</cp:revision>
  <dcterms:created xsi:type="dcterms:W3CDTF">2025-11-17T01:04:00Z</dcterms:created>
  <dcterms:modified xsi:type="dcterms:W3CDTF">2025-11-17T02:11:00Z</dcterms:modified>
</cp:coreProperties>
</file>