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特徴量検証レポート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現在のデータには2つの大きな制約があります：全PANに30日間の時間窓がなく、fraudのオーバーサンプリング比率が30:1です。そのため、現在の分析結果はすべて歪んでいます。より適切なデータの取得に努めています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レポート情報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報告日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分析対象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特徴量①②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当該PANの当該端末での利用頻度・額の増加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　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当該PANの3DS利用頻度・額の増加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　特徴量④ AC/Provisioning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2"/>
                <w:szCs w:val="22"/>
              </w:rPr>
              <w:t xml:space="preserve">暫定分析 — 完全なデータが揃い次第、再分析予定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1.  現状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データ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分析対象データ：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件のトランザクション、PAN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全件が新規PAN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（過去の取引履歴なし）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問題点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問題　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97%の値が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当該PANの当該端末での利用頻度, 当該PANの3DS利用頻度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 = 0、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全ての時間窓で同様。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7日間窓でも97%。さらに、この頻度=0グループでもFraud率が非常に高い。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原因1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30日間ベースラインなし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全PANが新規のため、分母が0となり比率系特徴量を計算できません。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原因2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Fraud/Non-fraudの比率が大きく偏っている（30:1）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現在のデータはFraudが約97%。そのため、計算した絶対的な割合（%）はすべて歪んでいます。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正確な分析に必要なデータ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正確な分析のために、以下が必要です：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① フィルタリング前の元データ（自然なFraud/Non-fraud比率のもの）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② 比率系特徴量を計算するための、最低30日間の取引履歴があるPAN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目安期間：1週間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2.  暫定分析結果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2A.  特徴量④ — AC/Provisioning の繰り返し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基本数値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flag_ac=1のPAN割合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Fraudグループでflag=1の割合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Non-fraudグループでflag=1の割合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___%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___%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→ Fraudグループのflag=1割合はNon-fraudの何倍か？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グループ別count_acの分布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AC回数（2〜30日）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Fraudグループ内の割合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Non-fraudグループ内の割合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差異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0回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3回以上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→ 差異が最も大きい行 = 推奨閾値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特徴量④の結論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Fraud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グループでは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% のPANがflag_ac=1、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Non-fraud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グループでは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% — 差異は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倍。Fraudはcount_ac ≥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回に最も集中。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評価：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2"/>
                <w:szCs w:val="22"/>
              </w:rPr>
              <w:t xml:space="preserve">特徴量の識別力は高い / 中程度 / 低い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。閾値count_ac ≥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でモデルへの採用を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2"/>
                <w:szCs w:val="22"/>
              </w:rPr>
              <w:t xml:space="preserve">推奨 / 見送り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2B.  絶対的利用頻度 — 時間窓別の頻度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グループ別の中央値比較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特徴量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中央値 — Fraud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中央値 — Non-fraud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差異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C_PAN_SameTerminal_10m_Freq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C_PAN_SameTerminal_1h_Freq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C_PAN_SameTerminal_7d_Freq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C_PAN_SameTerminal_10m_TotAmt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→ 差異が最も大きい時間窓 = 最も効果的な特徴量として推奨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グループ別「値 &gt; 0」の割合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特徴量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Fraudで値&gt;0の割合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Non-fraudで値&gt;0の割合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差異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C_PAN_SameTerminal_10m_Freq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C_PAN_SameTerminal_1h_Freq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C_PAN_SameTerminal_7d_Freq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推奨閾値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閾値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Fraudの検知率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Non-fraudの誤検知率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評価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C_PAN_SameTerminal_10m_Freq ≥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C_PAN_SameTerminal_10m_Freq ≥ 3  ✅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2"/>
                <w:szCs w:val="22"/>
              </w:rPr>
              <w:t xml:space="preserve">推奨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C_PAN_SameTerminal_10m_Freq ≥ 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→ 選択した行をハイライト。選定理由も記載すること。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カードテストの兆候（該当する場合）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Fraudグループのうち C_PAN_SameTerminal_10m_Freq ≥ 閾値の件数：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% のケースで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C_PAN_SameTerminal_10m_TotAmt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&lt; 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円 — 大きな不正取引の前に少額でカードの有効性を確認するパターンと一致。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絶対的利用頻度の結論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最も効果的な時間窓：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2"/>
                <w:szCs w:val="22"/>
              </w:rPr>
              <w:t xml:space="preserve">C_PAN_SameTerminal_10m_Freq / C_PAN_SameTerminal_1h_Freq / C_PAN_SameTerminal_7d_Freq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Fraudグループで C_PAN_SameTerminal_10m_Freq &gt; 0 の割合は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%、Non-fraudグループは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% — 差異は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倍。カードテストのパターン（少額＋高頻度）は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2"/>
                <w:szCs w:val="22"/>
              </w:rPr>
              <w:t xml:space="preserve">確認済み / 不明確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推奨閾値：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2"/>
                <w:szCs w:val="22"/>
              </w:rPr>
              <w:t xml:space="preserve"> cnt___ ≥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 カード有効化から</w:t>
            </w:r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日以内の新規PANに適用。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3.  確認事項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60"/>
        <w:gridCol w:w="1600"/>
        <w:gridCol w:w="160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確認内容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分類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回答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優先度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いただいた加盟店リストには店舗名のみ記載されていますか？それとも業種分類の列も含まれていますか？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当該PANの悪用頻発業種・加盟店・端末での利用頻度・額の増加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これらの加盟店の中で、チームが最も懸念しているグループはどれですか？GAFA、電子機器、その他？最近特に目立っている加盟店はありますか？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2"/>
                <w:szCs w:val="22"/>
                <w:u w:val="single"/>
              </w:rPr>
              <w:t xml:space="preserve"> ___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2026-06-14T15:32:29.150Z</dcterms:created>
  <dcterms:modified xsi:type="dcterms:W3CDTF">2026-06-14T15:32:29.162Z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