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. Rearrange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 the following conditions are satisfied:</w:t>
      </w:r>
    </w:p>
    <w:p>
      <w:pPr>
        <w:pStyle w:val="Compact"/>
        <w:numPr>
          <w:ilvl w:val="0"/>
          <w:numId w:val="1001"/>
        </w:numPr>
      </w:pPr>
      <w:r>
        <w:t xml:space="preserve">Every element less than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appears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every element greater than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Every element equal to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appears</w:t>
      </w:r>
      <w:r>
        <w:t xml:space="preserve"> </w:t>
      </w:r>
      <w:r>
        <w:rPr>
          <w:b/>
          <w:bCs/>
        </w:rPr>
        <w:t xml:space="preserve">in between</w:t>
      </w:r>
      <w:r>
        <w:t xml:space="preserve"> </w:t>
      </w:r>
      <w:r>
        <w:t xml:space="preserve">the elements less than and greater than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relative order</w:t>
      </w:r>
      <w:r>
        <w:t xml:space="preserve"> </w:t>
      </w:r>
      <w:r>
        <w:t xml:space="preserve">of the elements less than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and the elements greater than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is maintained.</w:t>
      </w:r>
    </w:p>
    <w:p>
      <w:pPr>
        <w:pStyle w:val="Compact"/>
        <w:numPr>
          <w:ilvl w:val="1"/>
          <w:numId w:val="1002"/>
        </w:numPr>
      </w:pPr>
      <w:r>
        <w:t xml:space="preserve">More formally, consider every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new position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element and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t xml:space="preserve">is the new position of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element. For elements less than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, if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nums[i] &lt; pivot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nums[j] &lt; pivot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p</w:t>
      </w:r>
      <w:r>
        <w:rPr>
          <w:rStyle w:val="VerbatimChar"/>
          <w:vertAlign w:val="subscript"/>
        </w:rPr>
        <w:t xml:space="preserve">j</w:t>
      </w:r>
      <w:r>
        <w:t xml:space="preserve">. Similarly for elements greater than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, if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nums[i] &gt; pivot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nums[j] &gt; pivot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p</w:t>
      </w:r>
      <w:r>
        <w:rPr>
          <w:rStyle w:val="VerbatimChar"/>
          <w:vertAlign w:val="subscript"/>
        </w:rPr>
        <w:t xml:space="preserve">j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after the rearrangement.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[9,12,5,10,14,3,10], pivot = 10</w:t>
      </w:r>
      <w:r>
        <w:br/>
      </w:r>
      <w:r>
        <w:rPr>
          <w:rStyle w:val="VerbatimChar"/>
        </w:rPr>
        <w:t xml:space="preserve">Output: [9,5,3,10,10,12,14]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elements 9, 5, and 3 are less than the pivot so they are on the left side of the array.</w:t>
      </w:r>
      <w:r>
        <w:br/>
      </w:r>
      <w:r>
        <w:rPr>
          <w:rStyle w:val="VerbatimChar"/>
        </w:rPr>
        <w:t xml:space="preserve">The elements 12 and 14 are greater than the pivot so they are on the right side of the array.</w:t>
      </w:r>
      <w:r>
        <w:br/>
      </w:r>
      <w:r>
        <w:rPr>
          <w:rStyle w:val="VerbatimChar"/>
        </w:rPr>
        <w:t xml:space="preserve">The relative ordering of the elements less than and greater than pivot is also maintained. [9, 5, 3] and [12, 14] are the respective orderings.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[-3,4,3,2], pivot = 2</w:t>
      </w:r>
      <w:r>
        <w:br/>
      </w:r>
      <w:r>
        <w:rPr>
          <w:rStyle w:val="VerbatimChar"/>
        </w:rPr>
        <w:t xml:space="preserve">Output: [-3,2,4,3]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element -3 is less than the pivot so it is on the left side of the array.</w:t>
      </w:r>
      <w:r>
        <w:br/>
      </w:r>
      <w:r>
        <w:rPr>
          <w:rStyle w:val="VerbatimChar"/>
        </w:rPr>
        <w:t xml:space="preserve">The elements 4 and 3 are greater than the pivot so they are on the right side of the array.</w:t>
      </w:r>
      <w:r>
        <w:br/>
      </w:r>
      <w:r>
        <w:rPr>
          <w:rStyle w:val="VerbatimChar"/>
        </w:rPr>
        <w:t xml:space="preserve">The relative ordering of the elements less than and greater than pivot is also maintained. [-3] and [4, 3] are the respective orderings.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pivot</w:t>
      </w:r>
      <w:r>
        <w:t xml:space="preserve"> </w:t>
      </w:r>
      <w:r>
        <w:t xml:space="preserve">equals to an 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2024-03-25T10:04:24Z</dcterms:created>
  <dcterms:modified xsi:type="dcterms:W3CDTF">2024-03-25T10:04:24Z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