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FirstParagraph"/>
      </w:pPr>
      <w:r>
        <w:t xml:space="preserve">Given the</w:t>
      </w:r>
      <w:r>
        <w:t xml:space="preserve"> </w:t>
      </w:r>
      <w:r>
        <w:rPr>
          <w:rStyle w:val="VerbatimChar"/>
        </w:rPr>
        <w:t xml:space="preserve">root</w:t>
      </w:r>
      <w:r>
        <w:t xml:space="preserve"> </w:t>
      </w:r>
      <w:r>
        <w:t xml:space="preserve">of a binary search tree (BST) with duplicates, return</w:t>
      </w:r>
      <w:r>
        <w:t xml:space="preserve"> </w:t>
      </w:r>
      <w:r>
        <w:rPr>
          <w:i/>
          <w:iCs/>
        </w:rPr>
        <w:t xml:space="preserve">all the</w:t>
      </w:r>
      <w:r>
        <w:rPr>
          <w:i/>
          <w:iCs/>
        </w:rPr>
        <w:t xml:space="preserve"> </w:t>
      </w:r>
      <w:hyperlink r:id="rId20">
        <w:r>
          <w:rPr>
            <w:rStyle w:val="Hyperlink"/>
            <w:i/>
            <w:iCs/>
          </w:rPr>
          <w:t xml:space="preserve">mode(s)</w:t>
        </w:r>
      </w:hyperlink>
      <w:r>
        <w:rPr>
          <w:i/>
          <w:iCs/>
        </w:rPr>
        <w:t xml:space="preserve"> </w:t>
      </w:r>
      <w:r>
        <w:rPr>
          <w:i/>
          <w:iCs/>
        </w:rPr>
        <w:t xml:space="preserve">(i.e., the most frequently occurred element) in it</w:t>
      </w:r>
      <w:r>
        <w:t xml:space="preserve">.</w:t>
      </w:r>
    </w:p>
    <w:p>
      <w:pPr>
        <w:pStyle w:val="BodyText"/>
      </w:pPr>
      <w:r>
        <w:t xml:space="preserve">If the tree has more than one mode, return them in</w:t>
      </w:r>
      <w:r>
        <w:t xml:space="preserve"> </w:t>
      </w:r>
      <w:r>
        <w:rPr>
          <w:b/>
          <w:bCs/>
        </w:rPr>
        <w:t xml:space="preserve">any order</w:t>
      </w:r>
      <w:r>
        <w:t xml:space="preserve">.</w:t>
      </w:r>
    </w:p>
    <w:p>
      <w:pPr>
        <w:pStyle w:val="BodyText"/>
      </w:pPr>
      <w:r>
        <w:t xml:space="preserve">Assume a BST is defined as follows:</w:t>
      </w:r>
    </w:p>
    <w:p>
      <w:pPr>
        <w:pStyle w:val="Compact"/>
        <w:numPr>
          <w:ilvl w:val="0"/>
          <w:numId w:val="1001"/>
        </w:numPr>
      </w:pPr>
      <w:r>
        <w:t xml:space="preserve">The left subtree of a node contains only nodes with keys</w:t>
      </w:r>
      <w:r>
        <w:t xml:space="preserve"> </w:t>
      </w:r>
      <w:r>
        <w:rPr>
          <w:b/>
          <w:bCs/>
        </w:rPr>
        <w:t xml:space="preserve">less than or equal to</w:t>
      </w:r>
      <w:r>
        <w:t xml:space="preserve"> </w:t>
      </w:r>
      <w:r>
        <w:t xml:space="preserve">the node's key.</w:t>
      </w:r>
    </w:p>
    <w:p>
      <w:pPr>
        <w:pStyle w:val="Compact"/>
        <w:numPr>
          <w:ilvl w:val="0"/>
          <w:numId w:val="1001"/>
        </w:numPr>
      </w:pPr>
      <w:r>
        <w:t xml:space="preserve">The right subtree of a node contains only nodes with keys</w:t>
      </w:r>
      <w:r>
        <w:t xml:space="preserve"> </w:t>
      </w:r>
      <w:r>
        <w:rPr>
          <w:b/>
          <w:bCs/>
        </w:rPr>
        <w:t xml:space="preserve">greater than or equal to</w:t>
      </w:r>
      <w:r>
        <w:t xml:space="preserve"> </w:t>
      </w:r>
      <w:r>
        <w:t xml:space="preserve">the node's key.</w:t>
      </w:r>
    </w:p>
    <w:p>
      <w:pPr>
        <w:pStyle w:val="Compact"/>
        <w:numPr>
          <w:ilvl w:val="0"/>
          <w:numId w:val="1001"/>
        </w:numPr>
      </w:pPr>
      <w:r>
        <w:t xml:space="preserve">Both the left and right subtrees must also be binary search trees.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Example 1:</w:t>
      </w:r>
    </w:p>
    <w:p>
      <w:pPr>
        <w:pStyle w:val="BodyText"/>
      </w:pPr>
      <w:r>
        <w:drawing>
          <wp:inline>
            <wp:extent cx="1803400" cy="2819400"/>
            <wp:effectExtent b="0" l="0" r="0" t="0"/>
            <wp:docPr descr="" title="" id="22" name="Picture"/>
            <a:graphic>
              <a:graphicData uri="http://schemas.openxmlformats.org/drawingml/2006/picture">
                <pic:pic>
                  <pic:nvPicPr>
                    <pic:cNvPr descr="https://assets.leetcode.com/uploads/2021/03/11/mode-tree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03400" cy="281940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VerbatimChar"/>
        </w:rPr>
        <w:t xml:space="preserve">Input: root = [1,null,2,2]</w:t>
      </w:r>
      <w:r>
        <w:br/>
      </w:r>
      <w:r>
        <w:rPr>
          <w:rStyle w:val="VerbatimChar"/>
        </w:rPr>
        <w:t xml:space="preserve">Output: [2]</w:t>
      </w:r>
    </w:p>
    <w:p>
      <w:pPr>
        <w:pStyle w:val="FirstParagraph"/>
      </w:pPr>
      <w:r>
        <w:rPr>
          <w:b/>
          <w:bCs/>
        </w:rPr>
        <w:t xml:space="preserve">Example 2:</w:t>
      </w:r>
    </w:p>
    <w:p>
      <w:pPr>
        <w:pStyle w:val="SourceCode"/>
      </w:pPr>
      <w:r>
        <w:rPr>
          <w:rStyle w:val="VerbatimChar"/>
        </w:rPr>
        <w:t xml:space="preserve">Input: root = [0]</w:t>
      </w:r>
      <w:r>
        <w:br/>
      </w:r>
      <w:r>
        <w:rPr>
          <w:rStyle w:val="VerbatimChar"/>
        </w:rPr>
        <w:t xml:space="preserve">Output: [0]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Constraints:</w:t>
      </w:r>
    </w:p>
    <w:p>
      <w:pPr>
        <w:pStyle w:val="Compact"/>
        <w:numPr>
          <w:ilvl w:val="0"/>
          <w:numId w:val="1002"/>
        </w:numPr>
      </w:pPr>
      <w:r>
        <w:t xml:space="preserve">The number of nodes in the tree is in the range</w:t>
      </w:r>
      <w:r>
        <w:t xml:space="preserve"> </w:t>
      </w:r>
      <w:r>
        <w:rPr>
          <w:rStyle w:val="VerbatimChar"/>
        </w:rPr>
        <w:t xml:space="preserve">[1, 10</w:t>
      </w:r>
      <w:r>
        <w:rPr>
          <w:rStyle w:val="VerbatimChar"/>
          <w:vertAlign w:val="superscript"/>
        </w:rPr>
        <w:t xml:space="preserve">4</w:t>
      </w:r>
      <w:r>
        <w:rPr>
          <w:rStyle w:val="VerbatimChar"/>
        </w:rPr>
        <w:t xml:space="preserve">]</w:t>
      </w:r>
      <w:r>
        <w:t xml:space="preserve">.</w:t>
      </w:r>
    </w:p>
    <w:p>
      <w:pPr>
        <w:pStyle w:val="Compact"/>
        <w:numPr>
          <w:ilvl w:val="0"/>
          <w:numId w:val="1002"/>
        </w:numPr>
      </w:pPr>
      <w:r>
        <w:rPr>
          <w:rStyle w:val="VerbatimChar"/>
        </w:rPr>
        <w:t xml:space="preserve">-10</w:t>
      </w:r>
      <w:r>
        <w:rPr>
          <w:rStyle w:val="VerbatimChar"/>
          <w:vertAlign w:val="superscript"/>
        </w:rPr>
        <w:t xml:space="preserve">5</w:t>
      </w:r>
      <w:r>
        <w:rPr>
          <w:rStyle w:val="VerbatimChar"/>
        </w:rPr>
        <w:t xml:space="preserve"> &lt;= Node.val &lt;= 10</w:t>
      </w:r>
      <w:r>
        <w:rPr>
          <w:rStyle w:val="VerbatimChar"/>
          <w:vertAlign w:val="superscript"/>
        </w:rPr>
        <w:t xml:space="preserve">5</w:t>
      </w:r>
    </w:p>
    <w:p>
      <w:pPr>
        <w:pStyle w:val="FirstParagraph"/>
      </w:pPr>
      <w:r>
        <w:t xml:space="preserve"> </w:t>
      </w:r>
    </w:p>
    <w:p>
      <w:pPr>
        <w:pStyle w:val="BodyText"/>
      </w:pPr>
      <w:r>
        <w:rPr>
          <w:b/>
          <w:bCs/>
        </w:rPr>
        <w:t xml:space="preserve">Follow up:</w:t>
      </w:r>
      <w:r>
        <w:t xml:space="preserve"> </w:t>
      </w:r>
      <w:r>
        <w:t xml:space="preserve">Could you do that without using any extra space? (Assume that the implicit stack space incurred due to recursion does not count).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0000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color w:val="345A8A"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bCs/>
      <w:i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 Text"/>
    <w:next w:val="Footnote 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hyperlink" Id="rId20" Target="https://en.wikipedia.org/wiki/Mode_(statistics)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0" Target="https://en.wikipedia.org/wiki/Mode_(statistics)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2024-03-25T10:13:55Z</dcterms:created>
  <dcterms:modified xsi:type="dcterms:W3CDTF">2024-03-25T10:13:55Z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