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Activiti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Apache-licensed business process management (BPM) engine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Its core goal is to take a process definition comprising human tasks and service calls, execute them in a specific order, and provide APIs for starting, managing, and querying data about process instances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explore more about Activiti and related topics: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AI Singapore Student Outreach Programme</w:t>
        </w:r>
      </w:hyperlink>
      <w:r>
        <w:t xml:space="preserve">: This program promotes AI literacy and proficiency among students, offering practical experience in AI projects and industry-recognized certificates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SkillsFuture@NS Learning eXperience Platform</w:t>
        </w:r>
      </w:hyperlink>
      <w:r>
        <w:t xml:space="preserve">: Specifically designed for national servicemen (NSFs), this platform provides free access to over 75,000 online courses, including Python programming, machine learning, and management training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Explore topics like machine learning, game theory,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General Assembly provides free workshops and resources on various tech skills, including web development, data science, and design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Explore and expand your knowledge</w:t>
        </w:r>
      </w:hyperlink>
      <w:r>
        <w:t xml:space="preserve">: This resource offers technology lessons and activities for both classroom and online learning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understanding of Activiti and related technologies!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pring.io/blog/2015/03/08/getting-started-with-activiti-and-spring-boot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3" Target="https://www.techlearning.com/news/best-technology-lessons-and-activit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pring.io/blog/2015/03/08/getting-started-with-activiti-and-spring-boot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3" Target="https://www.techlearning.com/news/best-technology-lessons-and-activit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2024-03-23T04:43:48Z</dcterms:created>
  <dcterms:modified xsi:type="dcterms:W3CDTF">2024-03-23T04:43:48Z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