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Jackson Tech District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mixed-use development</w:t>
      </w:r>
      <w:r>
        <w:t xml:space="preserve"> </w:t>
      </w:r>
      <w:r>
        <w:t xml:space="preserve">spanning</w:t>
      </w:r>
      <w:r>
        <w:t xml:space="preserve"> </w:t>
      </w:r>
      <w:r>
        <w:rPr>
          <w:b/>
          <w:bCs/>
        </w:rPr>
        <w:t xml:space="preserve">14 acres</w:t>
      </w:r>
      <w:r>
        <w:t xml:space="preserve"> </w:t>
      </w:r>
      <w:r>
        <w:t xml:space="preserve">in the heart of</w:t>
      </w:r>
      <w:r>
        <w:t xml:space="preserve"> </w:t>
      </w:r>
      <w:r>
        <w:rPr>
          <w:b/>
          <w:bCs/>
        </w:rPr>
        <w:t xml:space="preserve">Jackson, Mississippi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aims to revitalize the core of Downtown Jackson around principles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Innovation, Equity, Regenerative Design, and Cultural Responsiveness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</w:t>
      </w:r>
      <w:r>
        <w:t xml:space="preserve"> </w:t>
      </w:r>
      <w:r>
        <w:rPr>
          <w:b/>
          <w:bCs/>
        </w:rPr>
        <w:t xml:space="preserve">AI literacy and proficiency</w:t>
      </w:r>
      <w:r>
        <w:t xml:space="preserve"> </w:t>
      </w:r>
      <w:r>
        <w:t xml:space="preserve">among students, offering three levels of learning.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Google professional machine learning engineer certificate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national servicemen (NSFs)</w:t>
        </w:r>
        <w:r>
          <w:rPr>
            <w:rStyle w:val="Hyperlink"/>
          </w:rPr>
          <w:t xml:space="preserve">, this platform provides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 unlimited access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over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75,000 online courses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across various categories, including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python programming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machine learning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those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topics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machine learning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game theory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COVID-19 contact tracing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resources, which cover topics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 development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science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digital marketing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is a valuable resource for learning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 development technologies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HTML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CSS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JavaScript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expand your knowledge without costing a dime!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xntechdistrict.com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xntechdistrict.com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2024-03-23T04:48:51Z</dcterms:created>
  <dcterms:modified xsi:type="dcterms:W3CDTF">2024-03-23T04:48:51Z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