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non-empty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subarrays</w:t>
      </w:r>
      <w:r>
        <w:rPr>
          <w:i/>
          <w:iCs/>
        </w:rPr>
        <w:t xml:space="preserve"> </w:t>
      </w:r>
      <w:r>
        <w:rPr>
          <w:i/>
          <w:iCs/>
        </w:rPr>
        <w:t xml:space="preserve">with the leftmost element of the subarray not larger than other elements in the subarray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part of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[1,4,2,5,3]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 There are 11 valid subarrays: [1],[4],[2],[5],[3],[1,4],[2,5],[1,4,2],[2,5,3],[1,4,2,5],[1,4,2,5,3].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[3,2,1]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3 valid subarrays are: [3],[2],[1].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[2,2,2]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There are 6 valid subarrays: [2],[2],[2],[2,2],[2,2],[2,2,2].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2024-03-25T09:52:40Z</dcterms:created>
  <dcterms:modified xsi:type="dcterms:W3CDTF">2024-03-25T09:52:40Z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