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9699" w14:textId="794FD354" w:rsidR="005877C9" w:rsidRDefault="005877C9" w:rsidP="005877C9">
      <w:pPr>
        <w:spacing w:after="60" w:line="312" w:lineRule="auto"/>
        <w:ind w:firstLine="720"/>
        <w:jc w:val="center"/>
        <w:rPr>
          <w:rFonts w:ascii="Times New Roman" w:eastAsia="Times New Roman" w:hAnsi="Times New Roman" w:cs="Times New Roman"/>
          <w:b/>
          <w:bCs/>
          <w:color w:val="121212"/>
          <w:sz w:val="24"/>
          <w:szCs w:val="24"/>
          <w:highlight w:val="white"/>
          <w:lang w:val="en-US"/>
        </w:rPr>
      </w:pPr>
      <w:r w:rsidRPr="005877C9">
        <w:rPr>
          <w:rFonts w:ascii="Times New Roman" w:eastAsia="Times New Roman" w:hAnsi="Times New Roman" w:cs="Times New Roman"/>
          <w:b/>
          <w:bCs/>
          <w:color w:val="121212"/>
          <w:sz w:val="24"/>
          <w:szCs w:val="24"/>
          <w:highlight w:val="white"/>
          <w:lang w:val="en-US"/>
        </w:rPr>
        <w:t>MỸ RÚT QUÂN VÀ HỦY TRIỂN KHAI TÊN LỬA TẦM TRUNG TẠI ĐỨC: TÁC ĐỘNG ĐỐI VỚI ĐỨC VÀ CÁC BIỆN PHÁP ỨNG PHÓ</w:t>
      </w:r>
    </w:p>
    <w:p w14:paraId="5B1A4E5D" w14:textId="77777777" w:rsidR="005877C9" w:rsidRPr="005877C9" w:rsidRDefault="005877C9" w:rsidP="005877C9">
      <w:pPr>
        <w:spacing w:after="60" w:line="312" w:lineRule="auto"/>
        <w:ind w:firstLine="720"/>
        <w:jc w:val="center"/>
        <w:rPr>
          <w:rFonts w:ascii="Times New Roman" w:eastAsia="Times New Roman" w:hAnsi="Times New Roman" w:cs="Times New Roman"/>
          <w:b/>
          <w:bCs/>
          <w:color w:val="121212"/>
          <w:sz w:val="24"/>
          <w:szCs w:val="24"/>
          <w:highlight w:val="white"/>
          <w:lang w:val="en-US"/>
        </w:rPr>
      </w:pPr>
    </w:p>
    <w:p w14:paraId="00000007" w14:textId="77777777" w:rsidR="003958C6" w:rsidRPr="005877C9" w:rsidRDefault="00000000" w:rsidP="005877C9">
      <w:pPr>
        <w:spacing w:after="60" w:line="312" w:lineRule="auto"/>
        <w:jc w:val="both"/>
        <w:rPr>
          <w:rFonts w:ascii="Times New Roman" w:eastAsia="Times New Roman" w:hAnsi="Times New Roman" w:cs="Times New Roman"/>
          <w:b/>
          <w:bCs/>
          <w:color w:val="121212"/>
          <w:sz w:val="24"/>
          <w:szCs w:val="24"/>
          <w:highlight w:val="white"/>
        </w:rPr>
      </w:pPr>
      <w:r w:rsidRPr="005877C9">
        <w:rPr>
          <w:rFonts w:ascii="Times New Roman" w:eastAsia="Times New Roman" w:hAnsi="Times New Roman" w:cs="Times New Roman"/>
          <w:b/>
          <w:bCs/>
          <w:color w:val="121212"/>
          <w:sz w:val="24"/>
          <w:szCs w:val="24"/>
          <w:highlight w:val="white"/>
        </w:rPr>
        <w:t>1. Bối cảnh sự kiện</w:t>
      </w:r>
    </w:p>
    <w:p w14:paraId="07AD387E" w14:textId="1B5CFBA3" w:rsidR="005877C9" w:rsidRPr="005877C9"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Ngày 1 tháng 5 năm 2026, Lầu Năm Góc chính thức thông báo rút ít nhất 5.000 trong tổng số 36.436 quân nhân đang đóng tại Đức, với lộ trình hoàn tất trong 6 đến 12 tháng. Cùng với đó, kế hoạch triển khai hệ thống tên lửa Typhon vốn được ký kết trong khuôn khổ tuyên bố Biden-Scholz tại Thượng đỉnh NATO Washington tháng 7 năm 2024, gồm Tomahawk (tầm bắn trên 1.600 km), SM-6 và hệ thống siêu thanh Dark Eagle (tầm bắn trên 2.700 km), cũng bị đình chỉ. Chủ tịch Ủy ban Quân vụ Thượng viện Wicker và Hạ viện Rogers xác nhận thông tin này trong tuyên bố chung ngày 2 tháng 5 năm 2026. </w:t>
      </w:r>
    </w:p>
    <w:p w14:paraId="00000009" w14:textId="7B1249FC"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Hai quyết định trên không diễn ra trong một chân không chính sách. Chúng phản ánh xu hướng tái cân bằng chiến lược đã được phác thảo trong Chiến lược An ninh Quốc gia Mỹ công bố tháng 12 năm 2025, theo đó Washington ưu tiên giảm mức độ cam kết quân sự trực tiếp tại châu Âu, đặc biệt trong bối cảnh tập trung nguồn lực cho cạnh tranh chiến lược với Trung Quốc và các ưu tiên tại Trung Đông. Đáng lưu ý, Đạo luật Ngân sách Quốc phòng Mỹ 2026 (NDAA) do Quốc hội thông qua vẫn quy định ngưỡng pháp lý tối thiểu 76.000 quân tại châu Âu, phản ánh sự phân kỳ nhất định giữa hành pháp và lập pháp Mỹ trong vấn đề này, theo phân tích của German Marshall Fund.</w:t>
      </w:r>
    </w:p>
    <w:p w14:paraId="0000000A" w14:textId="77777777" w:rsidR="003958C6" w:rsidRPr="005877C9" w:rsidRDefault="00000000" w:rsidP="005877C9">
      <w:pPr>
        <w:spacing w:after="60" w:line="312" w:lineRule="auto"/>
        <w:jc w:val="both"/>
        <w:rPr>
          <w:rFonts w:ascii="Times New Roman" w:eastAsia="Times New Roman" w:hAnsi="Times New Roman" w:cs="Times New Roman"/>
          <w:b/>
          <w:bCs/>
          <w:color w:val="121212"/>
          <w:sz w:val="24"/>
          <w:szCs w:val="24"/>
          <w:highlight w:val="white"/>
        </w:rPr>
      </w:pPr>
      <w:r w:rsidRPr="005877C9">
        <w:rPr>
          <w:rFonts w:ascii="Times New Roman" w:eastAsia="Times New Roman" w:hAnsi="Times New Roman" w:cs="Times New Roman"/>
          <w:b/>
          <w:bCs/>
          <w:color w:val="121212"/>
          <w:sz w:val="24"/>
          <w:szCs w:val="24"/>
          <w:highlight w:val="white"/>
        </w:rPr>
        <w:t>2. Tác động đối với Đức</w:t>
      </w:r>
    </w:p>
    <w:p w14:paraId="0000000B" w14:textId="77777777" w:rsidR="003958C6"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rPr>
      </w:pPr>
      <w:r w:rsidRPr="005877C9">
        <w:rPr>
          <w:rFonts w:ascii="Times New Roman" w:eastAsia="Times New Roman" w:hAnsi="Times New Roman" w:cs="Times New Roman"/>
          <w:b/>
          <w:bCs/>
          <w:i/>
          <w:iCs/>
          <w:color w:val="121212"/>
          <w:sz w:val="24"/>
          <w:szCs w:val="24"/>
          <w:highlight w:val="white"/>
        </w:rPr>
        <w:t>2.1. Chính trị và an ninh</w:t>
      </w:r>
    </w:p>
    <w:p w14:paraId="0000000C" w14:textId="5C5ADC12"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Ở góc độ quân sự, tác động đáng quan ngại nhất không nằm ở việc rút 5.000 quân mà là ở quyết định hủy triển khai hệ thống tên lửa tầm trung. Chuyên gia Liana Fix tại Council on Foreign Relations (CFR) nhận định rằng đây là quyết định "đang âm thầm xói mòn nền tảng răn đe của NATO," vì châu Âu hiện không có năng lực tấn công chính xác tầm xa tương đương để đối trọng với các hệ thống Iskander-M và Kinzhal của Nga tại Kaliningrad. Báo cáo chiến lược năm 2025 của IISS chỉ rõ thêm rằng hệ thống phòng thủ Arrow 3 của Đức không có khả năng đánh chặn các tên lửa hành trình bay trong khí quyển như Iskander và Kinzhal. Tuy nhiên, cần nhấn mạnh rằng đây là một khoảng trống năng lực trong cấu trúc răn đe mở rộng, chứ không phải sự sụp đổ toàn diện của năng lực phòng thủ NATO: hệ thống ATACMS, bom hạt nhân B61 tại căn cứ Büchel và cơ chế chỉ huy của liên minh vẫn còn nguyên vẹn.</w:t>
      </w:r>
    </w:p>
    <w:p w14:paraId="0000000D" w14:textId="619997A1"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Ở tầm chính trị, động thái này đặt ra câu hỏi về mức độ tin cậy của Điều 5 Hiệp ước NATO. Tổ chức nghiên cứu ECFR trong khảo sát 16.440 người tại 12 quốc gia châu Âu, dựa trên nghiên cứu của Ivan Krastev và Mark Leonard, kết luận rằng niềm tin vào cam kết dài hạn của Mỹ đối với an ninh châu Âu đang bị đặt vào nghi vấn ở mức chưa từng thấy. Khi sự hiện diện quân sự được sử dụng như một công cụ tín hiệu chính trị, tính chắc chắn của sự tương trợ tập thể trở nên khó đánh giá hơn đối với cả đồng minh lẫn đối thủ tiềm năng. </w:t>
      </w:r>
    </w:p>
    <w:p w14:paraId="0000000E" w14:textId="77777777"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lastRenderedPageBreak/>
        <w:t xml:space="preserve">Vấn đề "hạt nhân chia sẻ" (nuclear sharing) cũng được đặt lại trên bàn thảo luận. Ngày 2 tháng 3 năm 2026, Tổng thống Macron công bố học thuyết "răn đe tiên phong" (forward deterrence), đề xuất mở rộng phạm vi chiến lược của lực lượng hạt nhân Pháp và thiết lập nhóm tư vấn hạt nhân song phương Pháp-Đức. Theo phân tích của Ifri do chuyên gia Héloïse Fayet thực hiện, đây là "điều chỉnh học thuyết chứ không phải cách mạng": Pháp không thiết lập bảo đảm chính thức tương đương chiếc ô hạt nhân của NATO, mà cung cấp thêm một tầng bổ sung trong cấu trúc răn đe. Nguy cơ bất liên tục chính sách sau bầu cử tổng thống Pháp năm 2027 là ràng buộc cần theo dõi. </w:t>
      </w:r>
    </w:p>
    <w:p w14:paraId="21A48669" w14:textId="77777777" w:rsidR="005877C9"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rPr>
      </w:pPr>
      <w:r w:rsidRPr="005877C9">
        <w:rPr>
          <w:rFonts w:ascii="Times New Roman" w:eastAsia="Times New Roman" w:hAnsi="Times New Roman" w:cs="Times New Roman"/>
          <w:b/>
          <w:bCs/>
          <w:i/>
          <w:iCs/>
          <w:color w:val="121212"/>
          <w:sz w:val="24"/>
          <w:szCs w:val="24"/>
          <w:highlight w:val="white"/>
        </w:rPr>
        <w:t>2.2. Kinh tế</w:t>
      </w:r>
    </w:p>
    <w:p w14:paraId="6E12D1B8" w14:textId="77777777" w:rsidR="005877C9" w:rsidRPr="005877C9"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Về phương diện kinh tế, Đức chịu áp lực từ hai chiều đồng thời. Thứ nhất, bất ổn trong quan hệ thương mại với Mỹ đang có tác động đo lường được: theo số liệu của IW Köln, dòng vốn đầu tư trực tiếp (FDI) từ Đức vào Mỹ trong giai đoạn tháng 2 đến tháng 11 năm 2025 giảm khoảng 45% so với cùng kỳ năm 2024, xuống còn 10,2 tỷ euro. Nguy cơ áp thuế 25% lên ô tô EU, nếu được thực thi, có thể gây thiệt hại bổ sung đáng kể cho ngành công nghiệp mũi nhọn của Đức. Theo dự báo của DIW Berlin, hỗn loạn thuế quan đang là yếu tố tiêu cực lớn nhất đối với triển vọng kinh tế Đức năm 2026, dù được phần nào bù đắp bởi các gói chi tiêu tài khóa trong nước.</w:t>
      </w:r>
    </w:p>
    <w:p w14:paraId="00000011" w14:textId="6C8965C9"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Thứ hai, quá trình tái cơ cấu quốc phòng tạo áp lực lớn lên ngân sách quốc gia. Quỹ đặc biệt (Sondervermögen) 100 tỷ euro thành lập năm 2022 dự kiến giải ngân hết vào cuối năm 2027. Cải cách hiến pháp tháng 3 năm 2025 mở đường cho việc miễn trừ chi tiêu quốc phòng vượt 1% GDP khỏi quy định "phanh nợ" (Schuldenbremse), nhưng điều này đồng nghĩa với việc tích lũy nợ mới ở quy mô chưa có tiền lệ trong thời bình. Sự đánh đổi giữa chi tiêu quốc phòng và các ưu tiên phúc lợi xã hội đang là chủ đề tranh luận nội bộ trong liên minh cầm quyền CDU/CSU-SPD. Tuy nhiên, Bundesbank ước tính rằng gói tài khóa quốc phòng và hạ tầng có thể đóng góp thêm 1,3 điểm phần trăm vào GDP đến năm 2028, là tác động kích thích đáng kể trong ngắn hạn.</w:t>
      </w:r>
    </w:p>
    <w:p w14:paraId="4559A47E" w14:textId="77777777" w:rsidR="005877C9"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lang w:val="en-US"/>
        </w:rPr>
      </w:pPr>
      <w:r w:rsidRPr="005877C9">
        <w:rPr>
          <w:rFonts w:ascii="Times New Roman" w:eastAsia="Times New Roman" w:hAnsi="Times New Roman" w:cs="Times New Roman"/>
          <w:b/>
          <w:bCs/>
          <w:i/>
          <w:iCs/>
          <w:color w:val="121212"/>
          <w:sz w:val="24"/>
          <w:szCs w:val="24"/>
          <w:highlight w:val="white"/>
        </w:rPr>
        <w:t>2.3. Đức có lường trước được không?</w:t>
      </w:r>
    </w:p>
    <w:p w14:paraId="00000013" w14:textId="339A6677"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Câu trả lời là một phần có, một phần không. Bộ trưởng Quốc phòng Pistorius thừa nhận công khai rằng xu hướng Mỹ giảm cam kết với châu Âu đã rõ ràng từ lâu, và Berlin đã bắt đầu xây dựng các kịch bản dự phòng kể từ sau chiến dịch của Nga tại Ukraine năm 2022. Phát biểu của Thủ tướng Merz tại Hội nghị An ninh Munich đầu năm 2026 cho thấy sự thay đổi tư duy thực chất: ông nhấn mạnh rằng kỷ nguyên dựa dẫm an ninh vào một đối tác duy nhất đã kết thúc và Đức sẵn sàng đảm nhận vai trò lớn hơn trong cấu trúc phòng thủ châu Âu. Đây là tín hiệu học thuyết quan trọng, phù hợp với khung phân tích "Mit, ohne, gegen Washington" (Cùng với, Không có, hoặc Chống lại Washington) mà SWP Berlin của Barbara Lippert và Stefan Mair đề xuất tháng 1 năm 2026.</w:t>
      </w:r>
    </w:p>
    <w:p w14:paraId="00000014" w14:textId="36D5F75D"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Tuy nhiên, mức độ và thời điểm cụ thể của quyết định vẫn gây bất ngờ. Theo PBS NewsHour, nhiều lãnh đạo châu Âu thừa nhận thời điểm thông báo không được báo trước, kể </w:t>
      </w:r>
      <w:r>
        <w:rPr>
          <w:rFonts w:ascii="Times New Roman" w:eastAsia="Times New Roman" w:hAnsi="Times New Roman" w:cs="Times New Roman"/>
          <w:color w:val="121212"/>
          <w:sz w:val="24"/>
          <w:szCs w:val="24"/>
          <w:highlight w:val="white"/>
        </w:rPr>
        <w:lastRenderedPageBreak/>
        <w:t>cả đối với những người đã có chuẩn bị về mặt tư duy chiến lược. Đánh giá cân bằng là: Đức bị động về thời điểm và quy mô cụ thể, nhưng đã tích lũy được một nền tảng học thuyết và thể chế nhất định để thích nghi về mặt chiến lược dài hạn.</w:t>
      </w:r>
    </w:p>
    <w:p w14:paraId="00000015" w14:textId="77777777" w:rsidR="003958C6" w:rsidRPr="005877C9" w:rsidRDefault="00000000" w:rsidP="005877C9">
      <w:pPr>
        <w:spacing w:after="60" w:line="312" w:lineRule="auto"/>
        <w:jc w:val="both"/>
        <w:rPr>
          <w:rFonts w:ascii="Times New Roman" w:eastAsia="Times New Roman" w:hAnsi="Times New Roman" w:cs="Times New Roman"/>
          <w:b/>
          <w:bCs/>
          <w:color w:val="121212"/>
          <w:sz w:val="24"/>
          <w:szCs w:val="24"/>
          <w:highlight w:val="white"/>
        </w:rPr>
      </w:pPr>
      <w:r w:rsidRPr="005877C9">
        <w:rPr>
          <w:rFonts w:ascii="Times New Roman" w:eastAsia="Times New Roman" w:hAnsi="Times New Roman" w:cs="Times New Roman"/>
          <w:b/>
          <w:bCs/>
          <w:color w:val="121212"/>
          <w:sz w:val="24"/>
          <w:szCs w:val="24"/>
          <w:highlight w:val="white"/>
        </w:rPr>
        <w:t>3. Biện pháp ứng phó của Đức</w:t>
      </w:r>
    </w:p>
    <w:p w14:paraId="00000016" w14:textId="77777777" w:rsidR="003958C6"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rPr>
      </w:pPr>
      <w:r w:rsidRPr="005877C9">
        <w:rPr>
          <w:rFonts w:ascii="Times New Roman" w:eastAsia="Times New Roman" w:hAnsi="Times New Roman" w:cs="Times New Roman"/>
          <w:b/>
          <w:bCs/>
          <w:i/>
          <w:iCs/>
          <w:color w:val="121212"/>
          <w:sz w:val="24"/>
          <w:szCs w:val="24"/>
          <w:highlight w:val="white"/>
        </w:rPr>
        <w:t>3.1. Ngắn hạn</w:t>
      </w:r>
    </w:p>
    <w:p w14:paraId="00000017" w14:textId="3AF8EC58"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Ưu tiên trước mắt của Berlin là ổn định cấu trúc an ninh hiện hữu trong khi quá trình thích nghi dài hạn được triển khai. Về mặt ngân sách, chi tiêu quốc phòng năm 2025 đạt 86 tỷ euro (2,4% GDP), và lộ trình đã được cam kết đạt 3,5% GDP vào năm 2029, tương đương khoảng 162 tỷ euro hằng năm. Theo Defense News, Đức đang có kế hoạch gần như nhân đôi chi tiêu quốc phòng trong vòng năm năm, một tốc độ tái vũ trang không có tiền lệ trong thời bình kể từ Chiến tranh Lạnh.</w:t>
      </w:r>
    </w:p>
    <w:p w14:paraId="00000018" w14:textId="753D6F0E"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Về ngoại giao, Berlin kích hoạt các kênh tiếp xúc với Quốc hội Mỹ, tận dụng vị thế của các thượng nghị sĩ Cộng hòa đang phản đối kế hoạch rút quân. Đây là kênh quan trọng vì NDAA 2026 quy định ngưỡng pháp lý 76.000 quân tại châu Âu, tạo ra giới hạn pháp lý mà hành pháp không thể dễ dàng vượt qua. Đức cũng thúc đẩy tăng cường phối hợp trong khuôn khổ EU thông qua PESCO và Quỹ Quốc phòng châu Âu (EDF) với ngân sách 1 tỷ euro năm 2026. Cần lưu ý rằng quy mô EDF vẫn còn hạn chế so với chi tiêu quốc gia, và nhiều thành viên EU ưu tiên mua sắm song phương hơn cơ chế nội khối, theo đánh giá của CSIS. </w:t>
      </w:r>
    </w:p>
    <w:p w14:paraId="38D92005" w14:textId="77777777" w:rsidR="005877C9"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lang w:val="en-US"/>
        </w:rPr>
      </w:pPr>
      <w:r>
        <w:rPr>
          <w:rFonts w:ascii="Times New Roman" w:eastAsia="Times New Roman" w:hAnsi="Times New Roman" w:cs="Times New Roman"/>
          <w:color w:val="121212"/>
          <w:sz w:val="24"/>
          <w:szCs w:val="24"/>
          <w:highlight w:val="white"/>
        </w:rPr>
        <w:t xml:space="preserve">Về vận động nội bộ NATO, Đức nỗ lực duy trì sự đồng thuận tập thể và nhấn mạnh rằng hiện diện quân sự Mỹ phục vụ lợi ích chung của liên minh. Ngoại trưởng Wadephul tuyên bố căn cứ Ramstein có "chức năng không thể thay thế" trong kiến trúc phòng thủ châu Âu, phản ánh một lập luận chiến lược hướng đến cả Washington và dư luận nội địa. </w:t>
      </w:r>
    </w:p>
    <w:p w14:paraId="42E0F3F6" w14:textId="77777777" w:rsidR="005877C9"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lang w:val="en-US"/>
        </w:rPr>
      </w:pPr>
      <w:r w:rsidRPr="005877C9">
        <w:rPr>
          <w:rFonts w:ascii="Times New Roman" w:eastAsia="Times New Roman" w:hAnsi="Times New Roman" w:cs="Times New Roman"/>
          <w:b/>
          <w:bCs/>
          <w:i/>
          <w:iCs/>
          <w:color w:val="121212"/>
          <w:sz w:val="24"/>
          <w:szCs w:val="24"/>
          <w:highlight w:val="white"/>
        </w:rPr>
        <w:t>3.2. Dài hạn</w:t>
      </w:r>
    </w:p>
    <w:p w14:paraId="0000001B" w14:textId="7CAE3981"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Về dài hạn, trọng tâm của chiến lược Đức là xây dựng năng lực quốc phòng tự chủ đủ để tạo ra đòn bẩy chiến lược, theo tinh thần học thuyết "Verantwortung für Europa" (Trách nhiệm đối với châu Âu) mà Bộ trưởng Pistorius công bố tháng 4 năm 2026. Mục tiêu quân số chính quy 260.000 người và dự bị 200.000 người vào năm 2035 là cam kết tham vọng, song đặt ra câu hỏi về tính khả thi. Carnegie Endowment for International Peace chỉ ra rằng "di sản chủ nghĩa hòa bình, nhân khẩu học yếu và tâm lý e ngại rủi ro của ngành công nghiệp" là những ràng buộc thực tế, trong khi quân số hiện tại (186.400 người) vẫn còn cách xa mục tiêu trước đó là 203.000 người. </w:t>
      </w:r>
    </w:p>
    <w:p w14:paraId="0000001C" w14:textId="77777777"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Về năng lực tên lửa tầm xa, Đức dẫn đầu sáng kiến ELSA (European Long-Range Strike Approach) cùng Pháp, Anh, Ý, Ba Lan, Thụy Điển, với mục tiêu tự phát triển hệ thống tên lửa vượt 2.000 km để giảm phụ thuộc vào Tomahawk của Mỹ, theo Breaking Defense. Hiệp định Trinity House (Anh-Đức, tháng 10 năm 2024) đặt nền tảng phát triển vũ khí tấn công chính xác tầm sâu song phương trên 2.000 km. Về mặt thời gian, bất kỳ hệ thống tên lửa mới nào </w:t>
      </w:r>
      <w:r>
        <w:rPr>
          <w:rFonts w:ascii="Times New Roman" w:eastAsia="Times New Roman" w:hAnsi="Times New Roman" w:cs="Times New Roman"/>
          <w:color w:val="121212"/>
          <w:sz w:val="24"/>
          <w:szCs w:val="24"/>
          <w:highlight w:val="white"/>
        </w:rPr>
        <w:lastRenderedPageBreak/>
        <w:t>cũng sẽ cần ít nhất một thập kỷ từ nghiên cứu đến vận hành tác chiến, nghĩa là khoảng trống năng lực từ việc hủy triển khai Typhon sẽ tồn tại trong một giai đoạn trung hạn đáng kể.</w:t>
      </w:r>
    </w:p>
    <w:p w14:paraId="0000001D" w14:textId="417EFB7A"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Trong lĩnh vực công nghiệp quốc phòng, Rheinmetall kết thúc năm 2025 với đơn hàng tồn kỷ lục 63,8 tỷ euro, tăng 36%, phản ánh mức nhu cầu chưa từng có. Tháng 4 năm 2026, Rheinmetall và Destinus thành lập liên doanh sản xuất tên lửa hành trình và pháo phản lực tại Đức, theo Breaking Defense. KNDS, nhà sản xuất xe tăng Leopard, cũng có kế hoạch niêm yết cổ phiếu năm 2026 để huy động thêm vốn mở rộng sản xuất. Về điều chỉnh học thuyết, DGAP nhận định rằng Đức cần xây dựng lại tư duy về "răn đe Nga từ vị thế mạnh," kết hợp cả năng lực thông thường và cam kết hạt nhân trong một kiến trúc phòng thủ châu Âu tích hợp hơn.</w:t>
      </w:r>
    </w:p>
    <w:p w14:paraId="0000001E" w14:textId="3F824A1E" w:rsidR="003958C6" w:rsidRPr="005877C9" w:rsidRDefault="00000000" w:rsidP="005877C9">
      <w:pPr>
        <w:spacing w:after="60" w:line="312" w:lineRule="auto"/>
        <w:jc w:val="both"/>
        <w:rPr>
          <w:rFonts w:ascii="Times New Roman" w:eastAsia="Times New Roman" w:hAnsi="Times New Roman" w:cs="Times New Roman"/>
          <w:b/>
          <w:bCs/>
          <w:color w:val="121212"/>
          <w:sz w:val="24"/>
          <w:szCs w:val="24"/>
          <w:highlight w:val="white"/>
        </w:rPr>
      </w:pPr>
      <w:r w:rsidRPr="005877C9">
        <w:rPr>
          <w:rFonts w:ascii="Times New Roman" w:eastAsia="Times New Roman" w:hAnsi="Times New Roman" w:cs="Times New Roman"/>
          <w:b/>
          <w:bCs/>
          <w:color w:val="121212"/>
          <w:sz w:val="24"/>
          <w:szCs w:val="24"/>
          <w:highlight w:val="white"/>
        </w:rPr>
        <w:t>4. Đánh giá tổng quan</w:t>
      </w:r>
    </w:p>
    <w:p w14:paraId="0000001F" w14:textId="45CDA958"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Đứng từ góc độ phân tích chính sách, Đức đang trong quá trình chuyển đổi có chiều sâu từ vị trí chủ yếu thụ hưởng an ninh do người khác cung cấp sang vai trò chủ động hơn trong cấu trúc phòng thủ châu Âu. Quá trình này đã được khởi động, có cơ sở thể chế và tài chính, và đang được thực thi với mức độ nghiêm túc chưa từng thấy kể từ Chiến tranh Lạnh. Tuy nhiên, khoảng cách giữa tham vọng chiến lược và năng lực thực tế hiện nay vẫn còn đáng kể, đặc biệt trong các lĩnh vực tình báo, giám sát, hạt nhân và tấn công tầm xa, nơi mà sự phụ thuộc vào Mỹ không thể được thay thế trong ngắn hạn.</w:t>
      </w:r>
    </w:p>
    <w:p w14:paraId="00000020" w14:textId="0AF0FB7D"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Thách thức chính trị nội bộ cũng không thể bỏ qua. Tính bền vững của mức chi tiêu quốc phòng cao, sự chấp nhận xã hội với tái vũ trang và tình trạng đơn hàng công nghiệp chưa chuyển hóa thành năng lực tác chiến thực tế là những biến số then chốt. Ở cấp độ EU, như Carnegie Endowment đánh giá, "liệu châu Âu có thể vượt qua các trở ngại chính trị để khẳng định sức mạnh và quyền tự chủ của mình hay không vẫn còn là câu hỏi mở." Quá trình chuyển đổi chiến lược của Đức sẽ kéo dài theo thang thập kỷ và phụ thuộc vào mức độ đồng thuận bền vững của liên minh cầm quyền, sự liên kết với các đối tác châu Âu chủ chốt và chiều hướng tiếp theo của chính sách Mỹ sau năm 2028.</w:t>
      </w:r>
    </w:p>
    <w:sectPr w:rsidR="003958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26BE19-9785-448C-B6BF-BB6521CB3097}"/>
  </w:font>
  <w:font w:name="Cambria">
    <w:panose1 w:val="02040503050406030204"/>
    <w:charset w:val="00"/>
    <w:family w:val="roman"/>
    <w:pitch w:val="variable"/>
    <w:sig w:usb0="E00006FF" w:usb1="420024FF" w:usb2="02000000" w:usb3="00000000" w:csb0="0000019F" w:csb1="00000000"/>
    <w:embedRegular r:id="rId2" w:fontKey="{972B058C-EF22-4871-940D-CADA2ECF99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8C6"/>
    <w:rsid w:val="003958C6"/>
    <w:rsid w:val="00445023"/>
    <w:rsid w:val="005877C9"/>
    <w:rsid w:val="00692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95CB"/>
  <w15:docId w15:val="{5C44AEF2-90F8-4D2D-A197-74A8D785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1595</Words>
  <Characters>9092</Characters>
  <Application>Microsoft Office Word</Application>
  <DocSecurity>0</DocSecurity>
  <Lines>75</Lines>
  <Paragraphs>21</Paragraphs>
  <ScaleCrop>false</ScaleCrop>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Phuc Nguyen</cp:lastModifiedBy>
  <cp:revision>2</cp:revision>
  <dcterms:created xsi:type="dcterms:W3CDTF">2026-05-07T08:51:00Z</dcterms:created>
  <dcterms:modified xsi:type="dcterms:W3CDTF">2026-05-07T08:51:00Z</dcterms:modified>
</cp:coreProperties>
</file>