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Задачи и решения — 2. Увод в концепцията за тестване. Писане на unit тестове</w:t>
      </w:r>
    </w:p>
    <w:p/>
    <w:p>
      <w:pPr>
        <w:pStyle w:val="Heading2"/>
      </w:pPr>
      <w:r>
        <w:rPr>
          <w:b/>
          <w:color w:val="1F497D"/>
        </w:rPr>
        <w:t>1. 04. Компонентно тестване упражнение.docx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