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и решения — 8. Създаване на приложения с няколко потребителски интерфейса</w:t>
      </w:r>
    </w:p>
    <w:p/>
    <w:p>
      <w:pPr>
        <w:pStyle w:val="Heading2"/>
      </w:pPr>
      <w:r>
        <w:rPr>
          <w:b/>
          <w:color w:val="1F497D"/>
        </w:rPr>
        <w:t>1. 01. ASP.NET MVC като потребителски интерфейс. Упражнение.docx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2. 02. Winows Forms като потребителски интерфейс. Упражнение.docx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3. 03. Комбиниране на потребителските интерфейси. Упражнение.docx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