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AI provider selector (Google Gemini or Groq), an optional API key field, Model ID and two buttons: “Run 4 checks — deterministic (no AI)” and “Run 4 checks — live &lt;provider&gt;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sends the four tool definitions with tool_choice=auto to the selected provider’s OpenAI-compatible chat-completions endpoint (Gemini: generativelanguage.googleapis.com/v1beta/openai, default model gemini-3.8-flash; Groq: api.groq.com/openai/v1, default model openai/gpt-oss-120b) and executes only the tool calls the model returns, through the same validators as /lab. Gemini thought signatures attached to tool calls are passed back unchanged, as Gemini requires. The live button is enabled only for a plausibly formatted key for the selected provider; the former sandbox/mock key mode has been removed.</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Gemini or Groq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Gemini or Groq key stays in React memory, is sent only to the selected provider’s API host in the Authorization header and is not included in exports; live mode sends the synthetic invoice text to that provider.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34/34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&lt;provider&gt; agent” runs them with the reviewer’s Gemini or Groq key. The suite tests every mode against fake Groq and Gemini endpoints: a prose-only reply and HTTP 401 are FAIL, injected submit_payment is blocked, missing token usage stays null, a retired model (HTTP 404) or rejected key is reported with the provider’s own message, Gemini thought signatures are returned, and network failures are reported clearly. The default model is openai/gpt-oss-120b, Groq’s recommended replacement after llama-3.3-70b-versatile was shut down on 16 August 2026.</w:t>
            </w:r>
          </w:p>
        </w:tc>
      </w:tr>
    </w:tbl>
    <w:p>
      <w:pPr>
        <w:spacing w:before="120"/>
      </w:pPr>
      <w:r>
        <w:t xml:space="preserve">On 16 October 2026, pnpm typecheck, pnpm lint, pnpm test (six suites), the four separate public suites, pnpm build:demo and pnpm build:offline all passed locally on Node 22. No live Groq accuracy result is claimed from these runs;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A live Groq result has not yet been recorded in this document. Two runners produce one: the public AI Connection panel (four cases, live Gemini or Groq mode, then “Export results (JSON)”) and tests/live-groq-evaluation.mjs (20 authored invoice layouts in English, Vietnamese, Chinese, JSON and reordered text, including two missing-field cases).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