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D0BD" w14:textId="77777777" w:rsidR="007B1276" w:rsidRPr="007B1276" w:rsidRDefault="007B1276" w:rsidP="007B1276">
      <w:pPr>
        <w:pStyle w:val="Heading1"/>
        <w:jc w:val="center"/>
        <w:rPr>
          <w:lang w:val="en-US"/>
        </w:rPr>
      </w:pPr>
      <w:r w:rsidRPr="007B1276">
        <w:rPr>
          <w:lang w:val="en-US"/>
        </w:rPr>
        <w:t>Graduate Applicant Screening Model</w:t>
      </w:r>
      <w:r w:rsidRPr="007B1276">
        <w:rPr>
          <w:lang w:val="en-US"/>
        </w:rPr>
        <w:br/>
        <w:t>Performance Evaluation and Fairness Audit</w:t>
      </w:r>
    </w:p>
    <w:p w14:paraId="6873D1B4" w14:textId="77777777" w:rsidR="007B1276" w:rsidRPr="007B1276" w:rsidRDefault="007B1276" w:rsidP="007B1276">
      <w:pPr>
        <w:jc w:val="center"/>
        <w:rPr>
          <w:lang w:val="en-US"/>
        </w:rPr>
      </w:pPr>
      <w:r w:rsidRPr="007B1276">
        <w:rPr>
          <w:i/>
          <w:iCs/>
          <w:lang w:val="en-US"/>
        </w:rPr>
        <w:t>Predictive analytics workflow developed in Orange Data Mining</w:t>
      </w:r>
    </w:p>
    <w:p w14:paraId="56351C6E" w14:textId="77777777" w:rsidR="007B1276" w:rsidRPr="007B1276" w:rsidRDefault="007B1276" w:rsidP="007B1276">
      <w:pPr>
        <w:rPr>
          <w:lang w:val="en-US"/>
        </w:rPr>
      </w:pPr>
      <w:r w:rsidRPr="007B1276">
        <w:rPr>
          <w:b/>
          <w:bCs/>
          <w:lang w:val="en-US"/>
        </w:rPr>
        <w:t>Executive Summary</w:t>
      </w:r>
    </w:p>
    <w:p w14:paraId="4E90937C" w14:textId="77777777" w:rsidR="007B1276" w:rsidRPr="007B1276" w:rsidRDefault="007B1276" w:rsidP="007B1276">
      <w:pPr>
        <w:rPr>
          <w:lang w:val="en-US"/>
        </w:rPr>
      </w:pPr>
      <w:r w:rsidRPr="007B1276">
        <w:rPr>
          <w:lang w:val="en-US"/>
        </w:rPr>
        <w:t>This report evaluates a predictive model intended to help a mid-sized Australian technology company screen graduate and early-career applicants. Using a dataset of 3,000 applicants and 14 original columns, the workflow cleans the data, tunes a neural network, compares it with a decision tree, and audits model explanations for fairness and privacy risks. The neural network performed better than the decision tree in the reported stratified three-fold cross-validation results, achieving approximately 0.74 F1 for the OfferMade = Yes class, compared with approximately 0.68 for the tree. However, the SHAP analysis indicates that gender materially influences predictions, while some other features may act as proxies for protected or socially sensitive characteristics. The model should therefore not be deployed in its current form. Before any operational use, the organisation should remove unnecessary protected features from model inputs, investigate proxy effects and historical labels, measure outcomes across groups, notify applicants, and establish meaningful human review.</w:t>
      </w:r>
    </w:p>
    <w:p w14:paraId="1B76C8A0" w14:textId="77777777" w:rsidR="007B1276" w:rsidRPr="007B1276" w:rsidRDefault="007B1276" w:rsidP="007B1276">
      <w:pPr>
        <w:rPr>
          <w:lang w:val="en-US"/>
        </w:rPr>
      </w:pPr>
      <w:r w:rsidRPr="007B1276">
        <w:rPr>
          <w:b/>
          <w:bCs/>
          <w:lang w:val="en-US"/>
        </w:rPr>
        <w:t>1. Project Context and Objective</w:t>
      </w:r>
    </w:p>
    <w:p w14:paraId="36FB6E07" w14:textId="77777777" w:rsidR="007B1276" w:rsidRPr="007B1276" w:rsidRDefault="007B1276" w:rsidP="007B1276">
      <w:pPr>
        <w:rPr>
          <w:lang w:val="en-US"/>
        </w:rPr>
      </w:pPr>
      <w:r w:rsidRPr="007B1276">
        <w:rPr>
          <w:lang w:val="en-US"/>
        </w:rPr>
        <w:t>The project considers whether predictive analytics can support the initial screening of graduate and early-career applicants. The target variable, OfferMade, records whether an applicant received an offer. The objective is not only to identify a model with useful predictive performance, but also to determine whether its decisions are sufficiently explainable, fair, and consistent with responsible handling of personal information.</w:t>
      </w:r>
    </w:p>
    <w:p w14:paraId="66B8DC74" w14:textId="77777777" w:rsidR="007B1276" w:rsidRPr="007B1276" w:rsidRDefault="007B1276" w:rsidP="007B1276">
      <w:pPr>
        <w:rPr>
          <w:lang w:val="en-US"/>
        </w:rPr>
      </w:pPr>
      <w:r w:rsidRPr="007B1276">
        <w:rPr>
          <w:lang w:val="en-US"/>
        </w:rPr>
        <w:t>The workflow was developed in Orange Data Mining, with a Python grid-search step used to test neural-network hidden-layer sizes. The analysis covers data preparation, hyperparameter tuning, model comparison, SHAP-based explanation, and a review of collection and data-quality concerns.</w:t>
      </w:r>
    </w:p>
    <w:p w14:paraId="5CEE4D25" w14:textId="77777777" w:rsidR="007B1276" w:rsidRPr="007B1276" w:rsidRDefault="007B1276" w:rsidP="007B1276">
      <w:pPr>
        <w:rPr>
          <w:lang w:val="en-US"/>
        </w:rPr>
      </w:pPr>
      <w:r w:rsidRPr="007B1276">
        <w:rPr>
          <w:b/>
          <w:bCs/>
          <w:lang w:val="en-US"/>
        </w:rPr>
        <w:t>2. Data Preparation</w:t>
      </w:r>
    </w:p>
    <w:p w14:paraId="3D1259B6" w14:textId="77777777" w:rsidR="007B1276" w:rsidRPr="007B1276" w:rsidRDefault="007B1276" w:rsidP="007B1276">
      <w:pPr>
        <w:rPr>
          <w:lang w:val="en-US"/>
        </w:rPr>
      </w:pPr>
      <w:r w:rsidRPr="007B1276">
        <w:rPr>
          <w:lang w:val="en-US"/>
        </w:rPr>
        <w:t xml:space="preserve">The original dataset contains 3,000 applicants and 14 columns: four categorical variables and ten numeric variables. OfferMade is the categorical target, with 0 representing No and 1 representing Yes. Approximately 300 values were missing in CareerBreakMonths, </w:t>
      </w:r>
      <w:r w:rsidRPr="007B1276">
        <w:rPr>
          <w:lang w:val="en-US"/>
        </w:rPr>
        <w:lastRenderedPageBreak/>
        <w:t>equivalent to 10% of that column and 0.8% of all cells. The recorded numeric distributions did not show obvious impossible values in the checks described in the workflow.</w:t>
      </w:r>
    </w:p>
    <w:p w14:paraId="040869B9" w14:textId="77777777" w:rsidR="007B1276" w:rsidRPr="007B1276" w:rsidRDefault="007B1276" w:rsidP="007B1276">
      <w:pPr>
        <w:rPr>
          <w:lang w:val="en-US"/>
        </w:rPr>
      </w:pPr>
      <w:r w:rsidRPr="007B1276">
        <w:rPr>
          <w:b/>
          <w:bCs/>
          <w:lang w:val="en-US"/>
        </w:rPr>
        <w:t>2.1 Cleaning and transformation decisions</w:t>
      </w:r>
    </w:p>
    <w:p w14:paraId="51CC8013" w14:textId="77777777" w:rsidR="007B1276" w:rsidRPr="007B1276" w:rsidRDefault="007B1276" w:rsidP="007B1276">
      <w:pPr>
        <w:rPr>
          <w:lang w:val="en-US"/>
        </w:rPr>
      </w:pPr>
      <w:r w:rsidRPr="007B1276">
        <w:rPr>
          <w:lang w:val="en-US"/>
        </w:rPr>
        <w:t>Standardised GenderIdentity labels by merging M into Male and F into Female. This prevents the same group from being represented by inconsistent categories.</w:t>
      </w:r>
    </w:p>
    <w:p w14:paraId="2D5A36A4" w14:textId="77777777" w:rsidR="007B1276" w:rsidRPr="007B1276" w:rsidRDefault="007B1276" w:rsidP="007B1276">
      <w:pPr>
        <w:rPr>
          <w:lang w:val="en-US"/>
        </w:rPr>
      </w:pPr>
      <w:r w:rsidRPr="007B1276">
        <w:rPr>
          <w:lang w:val="en-US"/>
        </w:rPr>
        <w:t>Renamed the target values from 0/1 to No/Yes and set OfferMade as the target, making results easier to interpret.</w:t>
      </w:r>
    </w:p>
    <w:p w14:paraId="78EEEDF8" w14:textId="77777777" w:rsidR="007B1276" w:rsidRPr="007B1276" w:rsidRDefault="007B1276" w:rsidP="007B1276">
      <w:pPr>
        <w:rPr>
          <w:lang w:val="en-US"/>
        </w:rPr>
      </w:pPr>
      <w:r w:rsidRPr="007B1276">
        <w:rPr>
          <w:lang w:val="en-US"/>
        </w:rPr>
        <w:t>Imputed missing CareerBreakMonths values using a model-based imputer with a simple tree. This retained all 3,000 applicants instead of deleting rows or replacing values with a single mean.</w:t>
      </w:r>
    </w:p>
    <w:p w14:paraId="012C2C5F" w14:textId="77777777" w:rsidR="007B1276" w:rsidRPr="007B1276" w:rsidRDefault="007B1276" w:rsidP="007B1276">
      <w:pPr>
        <w:rPr>
          <w:lang w:val="en-US"/>
        </w:rPr>
      </w:pPr>
      <w:r w:rsidRPr="007B1276">
        <w:rPr>
          <w:lang w:val="en-US"/>
        </w:rPr>
        <w:t>Removed Applicant ID from the model features because it is a unique identifier without a meaningful job-related predictive role and is unnecessary personal information.</w:t>
      </w:r>
    </w:p>
    <w:p w14:paraId="16AEF3EF" w14:textId="77777777" w:rsidR="007B1276" w:rsidRPr="007B1276" w:rsidRDefault="007B1276" w:rsidP="007B1276">
      <w:pPr>
        <w:rPr>
          <w:lang w:val="en-US"/>
        </w:rPr>
      </w:pPr>
      <w:r w:rsidRPr="007B1276">
        <w:rPr>
          <w:lang w:val="en-US"/>
        </w:rPr>
        <w:t>Applied one-hot encoding to GenderIdentity, HighestQualification, and InstitutionRank so categorical inputs could be processed by the neural network. The resulting dataset contained 18 feature columns plus the target.</w:t>
      </w:r>
    </w:p>
    <w:p w14:paraId="50D0CCE0" w14:textId="77777777" w:rsidR="007B1276" w:rsidRPr="007B1276" w:rsidRDefault="007B1276" w:rsidP="007B1276">
      <w:pPr>
        <w:rPr>
          <w:lang w:val="en-US"/>
        </w:rPr>
      </w:pPr>
      <w:r w:rsidRPr="007B1276">
        <w:rPr>
          <w:lang w:val="en-US"/>
        </w:rPr>
        <w:t>Normalised numeric features to a 0–1 range so that differences in measurement scales would not disproportionately affect neural-network training.</w:t>
      </w:r>
    </w:p>
    <w:p w14:paraId="7550836D" w14:textId="77777777" w:rsidR="007B1276" w:rsidRPr="007B1276" w:rsidRDefault="007B1276" w:rsidP="007B1276">
      <w:pPr>
        <w:rPr>
          <w:lang w:val="en-US"/>
        </w:rPr>
      </w:pPr>
      <w:r w:rsidRPr="007B1276">
        <w:rPr>
          <w:lang w:val="en-US"/>
        </w:rPr>
        <w:t>After imputation, the workflow showed no remaining missing values. These steps improve consistency and usability, although clean data alone does not guarantee that the variables or resulting decisions are fair.</w:t>
      </w:r>
    </w:p>
    <w:p w14:paraId="2CCEF139" w14:textId="77777777" w:rsidR="007B1276" w:rsidRPr="007B1276" w:rsidRDefault="007B1276" w:rsidP="007B1276">
      <w:pPr>
        <w:rPr>
          <w:lang w:val="en-US"/>
        </w:rPr>
      </w:pPr>
      <w:r w:rsidRPr="007B1276">
        <w:rPr>
          <w:b/>
          <w:bCs/>
          <w:lang w:val="en-US"/>
        </w:rPr>
        <w:t>3. Neural-Network Tuning</w:t>
      </w:r>
    </w:p>
    <w:p w14:paraId="1A08DEAB" w14:textId="77777777" w:rsidR="007B1276" w:rsidRPr="007B1276" w:rsidRDefault="007B1276" w:rsidP="007B1276">
      <w:pPr>
        <w:rPr>
          <w:lang w:val="en-US"/>
        </w:rPr>
      </w:pPr>
      <w:r w:rsidRPr="007B1276">
        <w:rPr>
          <w:lang w:val="en-US"/>
        </w:rPr>
        <w:t>A reproducible, stratified sampler selected 70% of the data (2,100 applicants) for model development and retained 30% as a test portion. Stratification preserved approximately the original share of offer recipients, around 34%, and replicability made the sampling process repeatable. The reported tuning experiment used three-fold cross-validation on the 70% sample.</w:t>
      </w:r>
    </w:p>
    <w:p w14:paraId="6152FA1F" w14:textId="77777777" w:rsidR="007B1276" w:rsidRPr="007B1276" w:rsidRDefault="007B1276" w:rsidP="007B1276">
      <w:pPr>
        <w:rPr>
          <w:lang w:val="en-US"/>
        </w:rPr>
      </w:pPr>
      <w:r w:rsidRPr="007B1276">
        <w:rPr>
          <w:lang w:val="en-US"/>
        </w:rPr>
        <w:t>A grid search tested 15 hidden-layer sizes: 1–10, 15, 20, 25, 30, and 35 nodes. The neural network used ReLU activation, the Adam optimiser, and a maximum of 300 iterations. The scoring metric was F1 for OfferMade = Yes. F1 was selected instead of accuracy because offer recipients were the minority class; a model that rejected every applicant could still appear accurate while failing to identify any offer recipients.</w:t>
      </w:r>
    </w:p>
    <w:p w14:paraId="47525359" w14:textId="77777777" w:rsidR="007B1276" w:rsidRPr="007B1276" w:rsidRDefault="007B1276" w:rsidP="007B1276">
      <w:pPr>
        <w:rPr>
          <w:lang w:val="en-US"/>
        </w:rPr>
      </w:pPr>
      <w:r w:rsidRPr="007B1276">
        <w:rPr>
          <w:lang w:val="en-US"/>
        </w:rPr>
        <w:lastRenderedPageBreak/>
        <w:t>The best reported tuning result was approximately 0.76 F1 with 10 hidden nodes. Performance improved from about 0.707 with one node to around 0.76 with nine or ten nodes, then declined to approximately 0.741 at 35 nodes. This suggests that a relatively small network was sufficient for the tuning setup and that adding complexity did not improve the measured F1 score.</w:t>
      </w:r>
    </w:p>
    <w:p w14:paraId="3C54603D" w14:textId="77777777" w:rsidR="007B1276" w:rsidRPr="007B1276" w:rsidRDefault="007B1276" w:rsidP="007B1276">
      <w:pPr>
        <w:rPr>
          <w:lang w:val="en-US"/>
        </w:rPr>
      </w:pPr>
      <w:r w:rsidRPr="007B1276">
        <w:rPr>
          <w:b/>
          <w:bCs/>
          <w:lang w:val="en-US"/>
        </w:rPr>
        <w:t>4. Model Comparison</w:t>
      </w:r>
    </w:p>
    <w:p w14:paraId="0BFCD503" w14:textId="77777777" w:rsidR="007B1276" w:rsidRPr="007B1276" w:rsidRDefault="007B1276" w:rsidP="007B1276">
      <w:pPr>
        <w:rPr>
          <w:lang w:val="en-US"/>
        </w:rPr>
      </w:pPr>
      <w:r w:rsidRPr="007B1276">
        <w:rPr>
          <w:lang w:val="en-US"/>
        </w:rPr>
        <w:t>The tuned neural network was compared with a decision tree using stratified three-fold cross-validation on the 70% development sample. The decision tree used a maximum depth of five, a minimum leaf size of two, and binary splits. The neural-network comparison used 15 hidden nodes, ReLU, Adam, 300 iterations, and replicable training.</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1575"/>
        <w:gridCol w:w="1550"/>
        <w:gridCol w:w="1550"/>
        <w:gridCol w:w="1579"/>
        <w:gridCol w:w="1550"/>
        <w:gridCol w:w="1550"/>
      </w:tblGrid>
      <w:tr w:rsidR="007B1276" w:rsidRPr="007B1276" w14:paraId="35782C01" w14:textId="77777777">
        <w:tc>
          <w:tcPr>
            <w:tcW w:w="1632" w:type="dxa"/>
            <w:tcBorders>
              <w:top w:val="single" w:sz="8" w:space="0" w:color="auto"/>
              <w:left w:val="single" w:sz="2" w:space="0" w:color="auto"/>
              <w:bottom w:val="single" w:sz="8" w:space="0" w:color="auto"/>
              <w:right w:val="single" w:sz="2" w:space="0" w:color="auto"/>
            </w:tcBorders>
            <w:hideMark/>
          </w:tcPr>
          <w:p w14:paraId="7D848730" w14:textId="77777777" w:rsidR="007B1276" w:rsidRPr="007B1276" w:rsidRDefault="007B1276" w:rsidP="007B1276">
            <w:pPr>
              <w:rPr>
                <w:lang w:val="en-US"/>
              </w:rPr>
            </w:pPr>
            <w:r w:rsidRPr="007B1276">
              <w:rPr>
                <w:lang w:val="en-US"/>
              </w:rPr>
              <w:t>Model</w:t>
            </w:r>
          </w:p>
        </w:tc>
        <w:tc>
          <w:tcPr>
            <w:tcW w:w="1632" w:type="dxa"/>
            <w:tcBorders>
              <w:top w:val="single" w:sz="8" w:space="0" w:color="auto"/>
              <w:left w:val="single" w:sz="2" w:space="0" w:color="auto"/>
              <w:bottom w:val="single" w:sz="8" w:space="0" w:color="auto"/>
              <w:right w:val="single" w:sz="2" w:space="0" w:color="auto"/>
            </w:tcBorders>
            <w:hideMark/>
          </w:tcPr>
          <w:p w14:paraId="604337FE" w14:textId="77777777" w:rsidR="007B1276" w:rsidRPr="007B1276" w:rsidRDefault="007B1276" w:rsidP="007B1276">
            <w:pPr>
              <w:rPr>
                <w:lang w:val="en-US"/>
              </w:rPr>
            </w:pPr>
            <w:r w:rsidRPr="007B1276">
              <w:rPr>
                <w:lang w:val="en-US"/>
              </w:rPr>
              <w:t>CA</w:t>
            </w:r>
          </w:p>
        </w:tc>
        <w:tc>
          <w:tcPr>
            <w:tcW w:w="1632" w:type="dxa"/>
            <w:tcBorders>
              <w:top w:val="single" w:sz="8" w:space="0" w:color="auto"/>
              <w:left w:val="single" w:sz="2" w:space="0" w:color="auto"/>
              <w:bottom w:val="single" w:sz="8" w:space="0" w:color="auto"/>
              <w:right w:val="single" w:sz="2" w:space="0" w:color="auto"/>
            </w:tcBorders>
            <w:hideMark/>
          </w:tcPr>
          <w:p w14:paraId="0DC7F959" w14:textId="77777777" w:rsidR="007B1276" w:rsidRPr="007B1276" w:rsidRDefault="007B1276" w:rsidP="007B1276">
            <w:pPr>
              <w:rPr>
                <w:lang w:val="en-US"/>
              </w:rPr>
            </w:pPr>
            <w:r w:rsidRPr="007B1276">
              <w:rPr>
                <w:lang w:val="en-US"/>
              </w:rPr>
              <w:t>AUC</w:t>
            </w:r>
          </w:p>
        </w:tc>
        <w:tc>
          <w:tcPr>
            <w:tcW w:w="1632" w:type="dxa"/>
            <w:tcBorders>
              <w:top w:val="single" w:sz="8" w:space="0" w:color="auto"/>
              <w:left w:val="single" w:sz="2" w:space="0" w:color="auto"/>
              <w:bottom w:val="single" w:sz="8" w:space="0" w:color="auto"/>
              <w:right w:val="single" w:sz="2" w:space="0" w:color="auto"/>
            </w:tcBorders>
            <w:hideMark/>
          </w:tcPr>
          <w:p w14:paraId="4BB5784A" w14:textId="77777777" w:rsidR="007B1276" w:rsidRPr="007B1276" w:rsidRDefault="007B1276" w:rsidP="007B1276">
            <w:pPr>
              <w:rPr>
                <w:lang w:val="en-US"/>
              </w:rPr>
            </w:pPr>
            <w:r w:rsidRPr="007B1276">
              <w:rPr>
                <w:lang w:val="en-US"/>
              </w:rPr>
              <w:t>Precision</w:t>
            </w:r>
          </w:p>
        </w:tc>
        <w:tc>
          <w:tcPr>
            <w:tcW w:w="1632" w:type="dxa"/>
            <w:tcBorders>
              <w:top w:val="single" w:sz="8" w:space="0" w:color="auto"/>
              <w:left w:val="single" w:sz="2" w:space="0" w:color="auto"/>
              <w:bottom w:val="single" w:sz="8" w:space="0" w:color="auto"/>
              <w:right w:val="single" w:sz="2" w:space="0" w:color="auto"/>
            </w:tcBorders>
            <w:hideMark/>
          </w:tcPr>
          <w:p w14:paraId="0BD48820" w14:textId="77777777" w:rsidR="007B1276" w:rsidRPr="007B1276" w:rsidRDefault="007B1276" w:rsidP="007B1276">
            <w:pPr>
              <w:rPr>
                <w:lang w:val="en-US"/>
              </w:rPr>
            </w:pPr>
            <w:r w:rsidRPr="007B1276">
              <w:rPr>
                <w:lang w:val="en-US"/>
              </w:rPr>
              <w:t>Recall</w:t>
            </w:r>
          </w:p>
        </w:tc>
        <w:tc>
          <w:tcPr>
            <w:tcW w:w="1632" w:type="dxa"/>
            <w:tcBorders>
              <w:top w:val="single" w:sz="8" w:space="0" w:color="auto"/>
              <w:left w:val="single" w:sz="2" w:space="0" w:color="auto"/>
              <w:bottom w:val="single" w:sz="8" w:space="0" w:color="auto"/>
              <w:right w:val="single" w:sz="2" w:space="0" w:color="auto"/>
            </w:tcBorders>
            <w:hideMark/>
          </w:tcPr>
          <w:p w14:paraId="7376F3E9" w14:textId="77777777" w:rsidR="007B1276" w:rsidRPr="007B1276" w:rsidRDefault="007B1276" w:rsidP="007B1276">
            <w:pPr>
              <w:rPr>
                <w:lang w:val="en-US"/>
              </w:rPr>
            </w:pPr>
            <w:r w:rsidRPr="007B1276">
              <w:rPr>
                <w:lang w:val="en-US"/>
              </w:rPr>
              <w:t>F1</w:t>
            </w:r>
          </w:p>
        </w:tc>
      </w:tr>
      <w:tr w:rsidR="007B1276" w:rsidRPr="007B1276" w14:paraId="7A891F23" w14:textId="77777777">
        <w:tc>
          <w:tcPr>
            <w:tcW w:w="1632" w:type="dxa"/>
            <w:tcBorders>
              <w:top w:val="single" w:sz="8" w:space="0" w:color="auto"/>
              <w:left w:val="single" w:sz="2" w:space="0" w:color="auto"/>
              <w:bottom w:val="single" w:sz="8" w:space="0" w:color="auto"/>
              <w:right w:val="single" w:sz="2" w:space="0" w:color="auto"/>
            </w:tcBorders>
            <w:hideMark/>
          </w:tcPr>
          <w:p w14:paraId="5E3CEDAA" w14:textId="77777777" w:rsidR="007B1276" w:rsidRPr="007B1276" w:rsidRDefault="007B1276" w:rsidP="007B1276">
            <w:pPr>
              <w:rPr>
                <w:lang w:val="en-US"/>
              </w:rPr>
            </w:pPr>
            <w:r w:rsidRPr="007B1276">
              <w:rPr>
                <w:lang w:val="en-US"/>
              </w:rPr>
              <w:t>Neural network</w:t>
            </w:r>
          </w:p>
        </w:tc>
        <w:tc>
          <w:tcPr>
            <w:tcW w:w="1632" w:type="dxa"/>
            <w:tcBorders>
              <w:top w:val="single" w:sz="8" w:space="0" w:color="auto"/>
              <w:left w:val="single" w:sz="2" w:space="0" w:color="auto"/>
              <w:bottom w:val="single" w:sz="8" w:space="0" w:color="auto"/>
              <w:right w:val="single" w:sz="2" w:space="0" w:color="auto"/>
            </w:tcBorders>
            <w:hideMark/>
          </w:tcPr>
          <w:p w14:paraId="627681A6" w14:textId="77777777" w:rsidR="007B1276" w:rsidRPr="007B1276" w:rsidRDefault="007B1276" w:rsidP="007B1276">
            <w:pPr>
              <w:rPr>
                <w:lang w:val="en-US"/>
              </w:rPr>
            </w:pPr>
            <w:r w:rsidRPr="007B1276">
              <w:rPr>
                <w:lang w:val="en-US"/>
              </w:rPr>
              <w:t>≈0.828</w:t>
            </w:r>
          </w:p>
        </w:tc>
        <w:tc>
          <w:tcPr>
            <w:tcW w:w="1632" w:type="dxa"/>
            <w:tcBorders>
              <w:top w:val="single" w:sz="8" w:space="0" w:color="auto"/>
              <w:left w:val="single" w:sz="2" w:space="0" w:color="auto"/>
              <w:bottom w:val="single" w:sz="8" w:space="0" w:color="auto"/>
              <w:right w:val="single" w:sz="2" w:space="0" w:color="auto"/>
            </w:tcBorders>
            <w:hideMark/>
          </w:tcPr>
          <w:p w14:paraId="7758B6E9" w14:textId="77777777" w:rsidR="007B1276" w:rsidRPr="007B1276" w:rsidRDefault="007B1276" w:rsidP="007B1276">
            <w:pPr>
              <w:rPr>
                <w:lang w:val="en-US"/>
              </w:rPr>
            </w:pPr>
            <w:r w:rsidRPr="007B1276">
              <w:rPr>
                <w:lang w:val="en-US"/>
              </w:rPr>
              <w:t>≈0.899</w:t>
            </w:r>
          </w:p>
        </w:tc>
        <w:tc>
          <w:tcPr>
            <w:tcW w:w="1632" w:type="dxa"/>
            <w:tcBorders>
              <w:top w:val="single" w:sz="8" w:space="0" w:color="auto"/>
              <w:left w:val="single" w:sz="2" w:space="0" w:color="auto"/>
              <w:bottom w:val="single" w:sz="8" w:space="0" w:color="auto"/>
              <w:right w:val="single" w:sz="2" w:space="0" w:color="auto"/>
            </w:tcBorders>
            <w:hideMark/>
          </w:tcPr>
          <w:p w14:paraId="216E0148" w14:textId="77777777" w:rsidR="007B1276" w:rsidRPr="007B1276" w:rsidRDefault="007B1276" w:rsidP="007B1276">
            <w:pPr>
              <w:rPr>
                <w:lang w:val="en-US"/>
              </w:rPr>
            </w:pPr>
            <w:r w:rsidRPr="007B1276">
              <w:rPr>
                <w:lang w:val="en-US"/>
              </w:rPr>
              <w:t>≈0.749</w:t>
            </w:r>
          </w:p>
        </w:tc>
        <w:tc>
          <w:tcPr>
            <w:tcW w:w="1632" w:type="dxa"/>
            <w:tcBorders>
              <w:top w:val="single" w:sz="8" w:space="0" w:color="auto"/>
              <w:left w:val="single" w:sz="2" w:space="0" w:color="auto"/>
              <w:bottom w:val="single" w:sz="8" w:space="0" w:color="auto"/>
              <w:right w:val="single" w:sz="2" w:space="0" w:color="auto"/>
            </w:tcBorders>
            <w:hideMark/>
          </w:tcPr>
          <w:p w14:paraId="1433EBB8" w14:textId="77777777" w:rsidR="007B1276" w:rsidRPr="007B1276" w:rsidRDefault="007B1276" w:rsidP="007B1276">
            <w:pPr>
              <w:rPr>
                <w:lang w:val="en-US"/>
              </w:rPr>
            </w:pPr>
            <w:r w:rsidRPr="007B1276">
              <w:rPr>
                <w:lang w:val="en-US"/>
              </w:rPr>
              <w:t>≈0.730</w:t>
            </w:r>
          </w:p>
        </w:tc>
        <w:tc>
          <w:tcPr>
            <w:tcW w:w="1632" w:type="dxa"/>
            <w:tcBorders>
              <w:top w:val="single" w:sz="8" w:space="0" w:color="auto"/>
              <w:left w:val="single" w:sz="2" w:space="0" w:color="auto"/>
              <w:bottom w:val="single" w:sz="8" w:space="0" w:color="auto"/>
              <w:right w:val="single" w:sz="2" w:space="0" w:color="auto"/>
            </w:tcBorders>
            <w:hideMark/>
          </w:tcPr>
          <w:p w14:paraId="26E6AD0A" w14:textId="77777777" w:rsidR="007B1276" w:rsidRPr="007B1276" w:rsidRDefault="007B1276" w:rsidP="007B1276">
            <w:pPr>
              <w:rPr>
                <w:lang w:val="en-US"/>
              </w:rPr>
            </w:pPr>
            <w:r w:rsidRPr="007B1276">
              <w:rPr>
                <w:lang w:val="en-US"/>
              </w:rPr>
              <w:t>≈0.740</w:t>
            </w:r>
          </w:p>
        </w:tc>
      </w:tr>
      <w:tr w:rsidR="007B1276" w:rsidRPr="007B1276" w14:paraId="3C19398A" w14:textId="77777777">
        <w:tc>
          <w:tcPr>
            <w:tcW w:w="1632" w:type="dxa"/>
            <w:tcBorders>
              <w:top w:val="single" w:sz="8" w:space="0" w:color="auto"/>
              <w:left w:val="single" w:sz="2" w:space="0" w:color="auto"/>
              <w:bottom w:val="single" w:sz="8" w:space="0" w:color="auto"/>
              <w:right w:val="single" w:sz="2" w:space="0" w:color="auto"/>
            </w:tcBorders>
            <w:hideMark/>
          </w:tcPr>
          <w:p w14:paraId="797C7EFE" w14:textId="77777777" w:rsidR="007B1276" w:rsidRPr="007B1276" w:rsidRDefault="007B1276" w:rsidP="007B1276">
            <w:pPr>
              <w:rPr>
                <w:lang w:val="en-US"/>
              </w:rPr>
            </w:pPr>
            <w:r w:rsidRPr="007B1276">
              <w:rPr>
                <w:lang w:val="en-US"/>
              </w:rPr>
              <w:t>Decision tree</w:t>
            </w:r>
          </w:p>
        </w:tc>
        <w:tc>
          <w:tcPr>
            <w:tcW w:w="1632" w:type="dxa"/>
            <w:tcBorders>
              <w:top w:val="single" w:sz="8" w:space="0" w:color="auto"/>
              <w:left w:val="single" w:sz="2" w:space="0" w:color="auto"/>
              <w:bottom w:val="single" w:sz="8" w:space="0" w:color="auto"/>
              <w:right w:val="single" w:sz="2" w:space="0" w:color="auto"/>
            </w:tcBorders>
            <w:hideMark/>
          </w:tcPr>
          <w:p w14:paraId="3820CB16" w14:textId="77777777" w:rsidR="007B1276" w:rsidRPr="007B1276" w:rsidRDefault="007B1276" w:rsidP="007B1276">
            <w:pPr>
              <w:rPr>
                <w:lang w:val="en-US"/>
              </w:rPr>
            </w:pPr>
            <w:r w:rsidRPr="007B1276">
              <w:rPr>
                <w:lang w:val="en-US"/>
              </w:rPr>
              <w:t>≈0.788</w:t>
            </w:r>
          </w:p>
        </w:tc>
        <w:tc>
          <w:tcPr>
            <w:tcW w:w="1632" w:type="dxa"/>
            <w:tcBorders>
              <w:top w:val="single" w:sz="8" w:space="0" w:color="auto"/>
              <w:left w:val="single" w:sz="2" w:space="0" w:color="auto"/>
              <w:bottom w:val="single" w:sz="8" w:space="0" w:color="auto"/>
              <w:right w:val="single" w:sz="2" w:space="0" w:color="auto"/>
            </w:tcBorders>
            <w:hideMark/>
          </w:tcPr>
          <w:p w14:paraId="5D1BEBB9" w14:textId="77777777" w:rsidR="007B1276" w:rsidRPr="007B1276" w:rsidRDefault="007B1276" w:rsidP="007B1276">
            <w:pPr>
              <w:rPr>
                <w:lang w:val="en-US"/>
              </w:rPr>
            </w:pPr>
            <w:r w:rsidRPr="007B1276">
              <w:rPr>
                <w:lang w:val="en-US"/>
              </w:rPr>
              <w:t>≈0.840</w:t>
            </w:r>
          </w:p>
        </w:tc>
        <w:tc>
          <w:tcPr>
            <w:tcW w:w="1632" w:type="dxa"/>
            <w:tcBorders>
              <w:top w:val="single" w:sz="8" w:space="0" w:color="auto"/>
              <w:left w:val="single" w:sz="2" w:space="0" w:color="auto"/>
              <w:bottom w:val="single" w:sz="8" w:space="0" w:color="auto"/>
              <w:right w:val="single" w:sz="2" w:space="0" w:color="auto"/>
            </w:tcBorders>
            <w:hideMark/>
          </w:tcPr>
          <w:p w14:paraId="132F0528" w14:textId="77777777" w:rsidR="007B1276" w:rsidRPr="007B1276" w:rsidRDefault="007B1276" w:rsidP="007B1276">
            <w:pPr>
              <w:rPr>
                <w:lang w:val="en-US"/>
              </w:rPr>
            </w:pPr>
            <w:r w:rsidRPr="007B1276">
              <w:rPr>
                <w:lang w:val="en-US"/>
              </w:rPr>
              <w:t>≈0.688</w:t>
            </w:r>
          </w:p>
        </w:tc>
        <w:tc>
          <w:tcPr>
            <w:tcW w:w="1632" w:type="dxa"/>
            <w:tcBorders>
              <w:top w:val="single" w:sz="8" w:space="0" w:color="auto"/>
              <w:left w:val="single" w:sz="2" w:space="0" w:color="auto"/>
              <w:bottom w:val="single" w:sz="8" w:space="0" w:color="auto"/>
              <w:right w:val="single" w:sz="2" w:space="0" w:color="auto"/>
            </w:tcBorders>
            <w:hideMark/>
          </w:tcPr>
          <w:p w14:paraId="0DE5870E" w14:textId="77777777" w:rsidR="007B1276" w:rsidRPr="007B1276" w:rsidRDefault="007B1276" w:rsidP="007B1276">
            <w:pPr>
              <w:rPr>
                <w:lang w:val="en-US"/>
              </w:rPr>
            </w:pPr>
            <w:r w:rsidRPr="007B1276">
              <w:rPr>
                <w:lang w:val="en-US"/>
              </w:rPr>
              <w:t>≈0.673</w:t>
            </w:r>
          </w:p>
        </w:tc>
        <w:tc>
          <w:tcPr>
            <w:tcW w:w="1632" w:type="dxa"/>
            <w:tcBorders>
              <w:top w:val="single" w:sz="8" w:space="0" w:color="auto"/>
              <w:left w:val="single" w:sz="2" w:space="0" w:color="auto"/>
              <w:bottom w:val="single" w:sz="8" w:space="0" w:color="auto"/>
              <w:right w:val="single" w:sz="2" w:space="0" w:color="auto"/>
            </w:tcBorders>
            <w:hideMark/>
          </w:tcPr>
          <w:p w14:paraId="397AEE6A" w14:textId="77777777" w:rsidR="007B1276" w:rsidRPr="007B1276" w:rsidRDefault="007B1276" w:rsidP="007B1276">
            <w:pPr>
              <w:rPr>
                <w:lang w:val="en-US"/>
              </w:rPr>
            </w:pPr>
            <w:r w:rsidRPr="007B1276">
              <w:rPr>
                <w:lang w:val="en-US"/>
              </w:rPr>
              <w:t>≈0.681</w:t>
            </w:r>
          </w:p>
        </w:tc>
      </w:tr>
    </w:tbl>
    <w:p w14:paraId="2EC14597" w14:textId="77777777" w:rsidR="007B1276" w:rsidRPr="007B1276" w:rsidRDefault="007B1276" w:rsidP="007B1276">
      <w:pPr>
        <w:rPr>
          <w:lang w:val="en-US"/>
        </w:rPr>
      </w:pPr>
      <w:r w:rsidRPr="007B1276">
        <w:rPr>
          <w:lang w:val="en-US"/>
        </w:rPr>
        <w:t>The neural network outperformed the decision tree on all reported measures. Its F1 score was approximately 0.059 higher, with precision about 0.061 higher and recall about 0.057 higher. A precision of approximately 0.749 means that about three-quarters of applicants predicted to receive an offer were actual offer recipients in the cross-validation results. Recall of approximately 0.730 means the model identified around 73% of actual offer recipients and missed around 27%.</w:t>
      </w:r>
    </w:p>
    <w:p w14:paraId="47977F42" w14:textId="77777777" w:rsidR="007B1276" w:rsidRPr="007B1276" w:rsidRDefault="007B1276" w:rsidP="007B1276">
      <w:pPr>
        <w:rPr>
          <w:lang w:val="en-US"/>
        </w:rPr>
      </w:pPr>
      <w:r w:rsidRPr="007B1276">
        <w:rPr>
          <w:lang w:val="en-US"/>
        </w:rPr>
        <w:t>Both models had precision slightly higher than recall, indicating that they missed somewhat more actual offer recipients than the number of false positive recommendations suggested by the corresponding metrics. This is important in graduate recruitment: a model-assisted process should not automatically reject applicants, and human review of rejections is needed to reduce the risk of excluding suitable candidates.</w:t>
      </w:r>
    </w:p>
    <w:p w14:paraId="19F9D2CF" w14:textId="77777777" w:rsidR="007B1276" w:rsidRPr="007B1276" w:rsidRDefault="007B1276" w:rsidP="007B1276">
      <w:pPr>
        <w:rPr>
          <w:lang w:val="en-US"/>
        </w:rPr>
      </w:pPr>
      <w:r w:rsidRPr="007B1276">
        <w:rPr>
          <w:lang w:val="en-US"/>
        </w:rPr>
        <w:t>The decision tree is easier to explain through if–then rules, while the neural network is less transparent. The tuning F1 and model-comparison F1 differ slightly because the experiments use different configurations and cross-validation/random initialisation conditions. The comparison table above is used as the primary basis for the model comparison.</w:t>
      </w:r>
    </w:p>
    <w:p w14:paraId="2018FBC9" w14:textId="77777777" w:rsidR="007B1276" w:rsidRPr="007B1276" w:rsidRDefault="007B1276" w:rsidP="007B1276">
      <w:pPr>
        <w:rPr>
          <w:lang w:val="en-US"/>
        </w:rPr>
      </w:pPr>
      <w:r w:rsidRPr="007B1276">
        <w:rPr>
          <w:b/>
          <w:bCs/>
          <w:lang w:val="en-US"/>
        </w:rPr>
        <w:t>5. Explainability and Fairness Audit</w:t>
      </w:r>
    </w:p>
    <w:p w14:paraId="7980046A" w14:textId="77777777" w:rsidR="007B1276" w:rsidRPr="007B1276" w:rsidRDefault="007B1276" w:rsidP="007B1276">
      <w:pPr>
        <w:rPr>
          <w:lang w:val="en-US"/>
        </w:rPr>
      </w:pPr>
      <w:r w:rsidRPr="007B1276">
        <w:rPr>
          <w:lang w:val="en-US"/>
        </w:rPr>
        <w:lastRenderedPageBreak/>
        <w:t>SHAP explanations were used to inspect which features moved neural-network predictions towards or away from OfferMade = Yes. In the summary plot, positive SHAP values push predictions towards an offer and negative values push them away. Colour indicates whether the feature value is high or low, while the spread of points indicates how much the feature can affect predictions.</w:t>
      </w:r>
    </w:p>
    <w:p w14:paraId="3F3651C4" w14:textId="77777777" w:rsidR="007B1276" w:rsidRPr="007B1276" w:rsidRDefault="007B1276" w:rsidP="007B1276">
      <w:pPr>
        <w:rPr>
          <w:lang w:val="en-US"/>
        </w:rPr>
      </w:pPr>
      <w:r w:rsidRPr="007B1276">
        <w:rPr>
          <w:b/>
          <w:bCs/>
          <w:lang w:val="en-US"/>
        </w:rPr>
        <w:t>5.1 Job-related signals</w:t>
      </w:r>
    </w:p>
    <w:p w14:paraId="21EB9E67" w14:textId="77777777" w:rsidR="007B1276" w:rsidRPr="007B1276" w:rsidRDefault="007B1276" w:rsidP="007B1276">
      <w:pPr>
        <w:rPr>
          <w:lang w:val="en-US"/>
        </w:rPr>
      </w:pPr>
      <w:r w:rsidRPr="007B1276">
        <w:rPr>
          <w:lang w:val="en-US"/>
        </w:rPr>
        <w:t>ProgrammingAssessment was the strongest reported driver. Higher programming scores generally pushed predictions towards an offer, while lower scores pushed them away. This is plausibly job-related for a technology company. ReasoningAssessment, WorkExperienceYrs, and other assessment or portfolio-related measures also contributed to predictions. However, the prominence of experience deserves particular scrutiny because the system is intended to screen graduate and early-career applicants, who may naturally have limited work experience.</w:t>
      </w:r>
    </w:p>
    <w:p w14:paraId="672892DB" w14:textId="77777777" w:rsidR="007B1276" w:rsidRPr="007B1276" w:rsidRDefault="007B1276" w:rsidP="007B1276">
      <w:pPr>
        <w:rPr>
          <w:lang w:val="en-US"/>
        </w:rPr>
      </w:pPr>
      <w:r w:rsidRPr="007B1276">
        <w:rPr>
          <w:b/>
          <w:bCs/>
          <w:lang w:val="en-US"/>
        </w:rPr>
        <w:t>5.2 Gender and potential proxies</w:t>
      </w:r>
    </w:p>
    <w:p w14:paraId="1A96D9AA" w14:textId="77777777" w:rsidR="007B1276" w:rsidRPr="007B1276" w:rsidRDefault="007B1276" w:rsidP="007B1276">
      <w:pPr>
        <w:rPr>
          <w:lang w:val="en-US"/>
        </w:rPr>
      </w:pPr>
      <w:r w:rsidRPr="007B1276">
        <w:rPr>
          <w:lang w:val="en-US"/>
        </w:rPr>
        <w:t>GenderIdentity was among the highest-ranked features in the SHAP analysis. Male-coded values pushed predictions towards an offer, while Female-coded values pushed predictions away. This means that applicants with otherwise similar qualifications could receive different model scores because of gender. The decision tree also used gender in its splits, so the concern is not limited to one model.</w:t>
      </w:r>
    </w:p>
    <w:p w14:paraId="28291D22" w14:textId="77777777" w:rsidR="007B1276" w:rsidRPr="007B1276" w:rsidRDefault="007B1276" w:rsidP="007B1276">
      <w:pPr>
        <w:rPr>
          <w:lang w:val="en-US"/>
        </w:rPr>
      </w:pPr>
      <w:r w:rsidRPr="007B1276">
        <w:rPr>
          <w:lang w:val="en-US"/>
        </w:rPr>
        <w:t>Other features may act as proxies for sensitive or socially patterned characteristics. InstitutionRank may reflect social or educational opportunity; CareerBreakMonths may be associated with caring responsibilities; and WorkExperienceYrs may be correlated with age. Age was collected but not prominent in the reported top-ten SHAP features, which does not prove that it has no influence. Race and disability were not included in the dataset, so the current analysis cannot establish how the model performs for those groups.</w:t>
      </w:r>
    </w:p>
    <w:p w14:paraId="4C4F7B0A" w14:textId="77777777" w:rsidR="007B1276" w:rsidRPr="007B1276" w:rsidRDefault="007B1276" w:rsidP="007B1276">
      <w:pPr>
        <w:rPr>
          <w:lang w:val="en-US"/>
        </w:rPr>
      </w:pPr>
      <w:r w:rsidRPr="007B1276">
        <w:rPr>
          <w:lang w:val="en-US"/>
        </w:rPr>
        <w:t>The audit also raises a targeting concern: lower work experience can reduce an applicant's predicted chance of an offer even though the stated use case is graduate and early-career screening. The organisation should check whether the model's learned patterns conflict with the role's actual entry requirements.</w:t>
      </w:r>
    </w:p>
    <w:p w14:paraId="203018BC" w14:textId="77777777" w:rsidR="007B1276" w:rsidRPr="007B1276" w:rsidRDefault="007B1276" w:rsidP="007B1276">
      <w:pPr>
        <w:rPr>
          <w:lang w:val="en-US"/>
        </w:rPr>
      </w:pPr>
      <w:r w:rsidRPr="007B1276">
        <w:rPr>
          <w:b/>
          <w:bCs/>
          <w:lang w:val="en-US"/>
        </w:rPr>
        <w:t>6. Privacy and Responsible-Use Review</w:t>
      </w:r>
    </w:p>
    <w:p w14:paraId="70319F90" w14:textId="77777777" w:rsidR="007B1276" w:rsidRPr="007B1276" w:rsidRDefault="007B1276" w:rsidP="007B1276">
      <w:pPr>
        <w:rPr>
          <w:lang w:val="en-US"/>
        </w:rPr>
      </w:pPr>
      <w:r w:rsidRPr="007B1276">
        <w:rPr>
          <w:lang w:val="en-US"/>
        </w:rPr>
        <w:t>The project applies the SCORE framing—Stakeholders, Consent, Outcomes, Rights and Rules, and Escalation—to consider governance beyond predictive accuracy.</w:t>
      </w:r>
    </w:p>
    <w:p w14:paraId="3AC34B27" w14:textId="77777777" w:rsidR="007B1276" w:rsidRPr="007B1276" w:rsidRDefault="007B1276" w:rsidP="007B1276">
      <w:pPr>
        <w:rPr>
          <w:lang w:val="en-US"/>
        </w:rPr>
      </w:pPr>
      <w:r w:rsidRPr="007B1276">
        <w:rPr>
          <w:b/>
          <w:bCs/>
          <w:lang w:val="en-US"/>
        </w:rPr>
        <w:lastRenderedPageBreak/>
        <w:t xml:space="preserve">Stakeholders: </w:t>
      </w:r>
      <w:r w:rsidRPr="007B1276">
        <w:rPr>
          <w:lang w:val="en-US"/>
        </w:rPr>
        <w:t>Applicants are directly affected by screening decisions but the case does not show that they have a voice in how the system is designed or used. Employers are also affected if suitable candidates are incorrectly screened out.</w:t>
      </w:r>
    </w:p>
    <w:p w14:paraId="7126EA1C" w14:textId="77777777" w:rsidR="007B1276" w:rsidRPr="007B1276" w:rsidRDefault="007B1276" w:rsidP="007B1276">
      <w:pPr>
        <w:rPr>
          <w:lang w:val="en-US"/>
        </w:rPr>
      </w:pPr>
      <w:r w:rsidRPr="007B1276">
        <w:rPr>
          <w:b/>
          <w:bCs/>
          <w:lang w:val="en-US"/>
        </w:rPr>
        <w:t xml:space="preserve">Consent and transparency: </w:t>
      </w:r>
      <w:r w:rsidRPr="007B1276">
        <w:rPr>
          <w:lang w:val="en-US"/>
        </w:rPr>
        <w:t>The case does not establish whether applicants are informed, in plain language, that their personal information is used by an automated screening model or how they can query a decision. These arrangements need to be specified before deployment.</w:t>
      </w:r>
    </w:p>
    <w:p w14:paraId="7CF0374B" w14:textId="77777777" w:rsidR="007B1276" w:rsidRPr="007B1276" w:rsidRDefault="007B1276" w:rsidP="007B1276">
      <w:pPr>
        <w:rPr>
          <w:lang w:val="en-US"/>
        </w:rPr>
      </w:pPr>
      <w:r w:rsidRPr="007B1276">
        <w:rPr>
          <w:b/>
          <w:bCs/>
          <w:lang w:val="en-US"/>
        </w:rPr>
        <w:t xml:space="preserve">Outcomes: </w:t>
      </w:r>
      <w:r w:rsidRPr="007B1276">
        <w:rPr>
          <w:lang w:val="en-US"/>
        </w:rPr>
        <w:t>Accuracy and F1 alone do not reveal unequal impacts. The organisation should measure selection rates, false-positive and false-negative rates, and other relevant outcomes across groups where lawful and appropriate.</w:t>
      </w:r>
    </w:p>
    <w:p w14:paraId="268633A8" w14:textId="77777777" w:rsidR="007B1276" w:rsidRPr="007B1276" w:rsidRDefault="007B1276" w:rsidP="007B1276">
      <w:pPr>
        <w:rPr>
          <w:lang w:val="en-US"/>
        </w:rPr>
      </w:pPr>
      <w:r w:rsidRPr="007B1276">
        <w:rPr>
          <w:b/>
          <w:bCs/>
          <w:lang w:val="en-US"/>
        </w:rPr>
        <w:t xml:space="preserve">APP 3—collection: </w:t>
      </w:r>
      <w:r w:rsidRPr="007B1276">
        <w:rPr>
          <w:lang w:val="en-US"/>
        </w:rPr>
        <w:t>The workflow identifies Applicant ID, Age, and Gender as fields that should not be used as model inputs for judging applicant ability. The organisation should collect only personal information reasonably necessary for its functions. Removing fields from the model is not sufficient if other fields act as proxies.</w:t>
      </w:r>
    </w:p>
    <w:p w14:paraId="05786DCE" w14:textId="77777777" w:rsidR="007B1276" w:rsidRPr="007B1276" w:rsidRDefault="007B1276" w:rsidP="007B1276">
      <w:pPr>
        <w:rPr>
          <w:lang w:val="en-US"/>
        </w:rPr>
      </w:pPr>
      <w:r w:rsidRPr="007B1276">
        <w:rPr>
          <w:b/>
          <w:bCs/>
          <w:lang w:val="en-US"/>
        </w:rPr>
        <w:t xml:space="preserve">APP 10—quality: </w:t>
      </w:r>
      <w:r w:rsidRPr="007B1276">
        <w:rPr>
          <w:lang w:val="en-US"/>
        </w:rPr>
        <w:t>The organisation should assess whether the data and historical offer labels are accurate and appropriate for the intended purpose. If historical decisions contain bias, training on those labels can reproduce that bias at scale.</w:t>
      </w:r>
    </w:p>
    <w:p w14:paraId="78192D08" w14:textId="77777777" w:rsidR="007B1276" w:rsidRPr="007B1276" w:rsidRDefault="007B1276" w:rsidP="007B1276">
      <w:pPr>
        <w:rPr>
          <w:lang w:val="en-US"/>
        </w:rPr>
      </w:pPr>
      <w:r w:rsidRPr="007B1276">
        <w:rPr>
          <w:b/>
          <w:bCs/>
          <w:lang w:val="en-US"/>
        </w:rPr>
        <w:t xml:space="preserve">Escalation and human oversight: </w:t>
      </w:r>
      <w:r w:rsidRPr="007B1276">
        <w:rPr>
          <w:lang w:val="en-US"/>
        </w:rPr>
        <w:t>The case does not identify a named accountable owner, review triggers, an appeal path, or a process for a human to override model recommendations. These controls should be defined before any operational use.</w:t>
      </w:r>
    </w:p>
    <w:p w14:paraId="78E18AC2" w14:textId="77777777" w:rsidR="007B1276" w:rsidRPr="007B1276" w:rsidRDefault="007B1276" w:rsidP="007B1276">
      <w:pPr>
        <w:rPr>
          <w:lang w:val="en-US"/>
        </w:rPr>
      </w:pPr>
      <w:r w:rsidRPr="007B1276">
        <w:rPr>
          <w:b/>
          <w:bCs/>
          <w:lang w:val="en-US"/>
        </w:rPr>
        <w:t>7. Recommendations</w:t>
      </w:r>
    </w:p>
    <w:p w14:paraId="7F95223E" w14:textId="77777777" w:rsidR="007B1276" w:rsidRPr="007B1276" w:rsidRDefault="007B1276" w:rsidP="007B1276">
      <w:pPr>
        <w:rPr>
          <w:lang w:val="en-US"/>
        </w:rPr>
      </w:pPr>
      <w:r w:rsidRPr="007B1276">
        <w:rPr>
          <w:lang w:val="en-US"/>
        </w:rPr>
        <w:t>Do not deploy the current model for live applicant screening. Treat it as an experimental decision-support model until the fairness, privacy, and governance issues have been addressed.</w:t>
      </w:r>
    </w:p>
    <w:p w14:paraId="174FA8C6" w14:textId="77777777" w:rsidR="007B1276" w:rsidRPr="007B1276" w:rsidRDefault="007B1276" w:rsidP="007B1276">
      <w:pPr>
        <w:rPr>
          <w:lang w:val="en-US"/>
        </w:rPr>
      </w:pPr>
      <w:r w:rsidRPr="007B1276">
        <w:rPr>
          <w:lang w:val="en-US"/>
        </w:rPr>
        <w:t>Remove GenderIdentity, Age, and Applicant ID from the model inputs. If gender data is collected for fairness monitoring, keep it separate from the prediction pipeline and use it only for an appropriate, lawful audit purpose.</w:t>
      </w:r>
    </w:p>
    <w:p w14:paraId="660A7E55" w14:textId="77777777" w:rsidR="007B1276" w:rsidRPr="007B1276" w:rsidRDefault="007B1276" w:rsidP="007B1276">
      <w:pPr>
        <w:rPr>
          <w:lang w:val="en-US"/>
        </w:rPr>
      </w:pPr>
      <w:r w:rsidRPr="007B1276">
        <w:rPr>
          <w:lang w:val="en-US"/>
        </w:rPr>
        <w:t>Review potential proxy variables, especially InstitutionRank, CareerBreakMonths, and WorkExperienceYrs. Retain job-relevant fields only where their necessity is justified and their effects have been tested.</w:t>
      </w:r>
    </w:p>
    <w:p w14:paraId="3B9D6AE1" w14:textId="77777777" w:rsidR="007B1276" w:rsidRPr="007B1276" w:rsidRDefault="007B1276" w:rsidP="007B1276">
      <w:pPr>
        <w:rPr>
          <w:lang w:val="en-US"/>
        </w:rPr>
      </w:pPr>
      <w:r w:rsidRPr="007B1276">
        <w:rPr>
          <w:lang w:val="en-US"/>
        </w:rPr>
        <w:t>Investigate historical offer decisions and labels for systematic bias. Removing a protected column alone may reduce a gap without eliminating it, because correlated features can preserve similar patterns.</w:t>
      </w:r>
    </w:p>
    <w:p w14:paraId="211A1813" w14:textId="77777777" w:rsidR="007B1276" w:rsidRPr="007B1276" w:rsidRDefault="007B1276" w:rsidP="007B1276">
      <w:pPr>
        <w:rPr>
          <w:lang w:val="en-US"/>
        </w:rPr>
      </w:pPr>
      <w:r w:rsidRPr="007B1276">
        <w:rPr>
          <w:lang w:val="en-US"/>
        </w:rPr>
        <w:lastRenderedPageBreak/>
        <w:t>Run group-based fairness evaluations before and after retraining. Monitor selection rates, precision, recall, false positives, and false negatives, and document the limits of the available demographic data.</w:t>
      </w:r>
    </w:p>
    <w:p w14:paraId="011A5EAF" w14:textId="77777777" w:rsidR="007B1276" w:rsidRPr="007B1276" w:rsidRDefault="007B1276" w:rsidP="007B1276">
      <w:pPr>
        <w:rPr>
          <w:lang w:val="en-US"/>
        </w:rPr>
      </w:pPr>
      <w:r w:rsidRPr="007B1276">
        <w:rPr>
          <w:lang w:val="en-US"/>
        </w:rPr>
        <w:t>Tell applicants how automated screening is used, what information is considered, and how to request a review. Establish an accountable owner, clear escalation triggers, and a meaningful human override process.</w:t>
      </w:r>
    </w:p>
    <w:p w14:paraId="6BAF0184" w14:textId="77777777" w:rsidR="007B1276" w:rsidRPr="007B1276" w:rsidRDefault="007B1276" w:rsidP="007B1276">
      <w:pPr>
        <w:rPr>
          <w:lang w:val="en-US"/>
        </w:rPr>
      </w:pPr>
      <w:r w:rsidRPr="007B1276">
        <w:rPr>
          <w:lang w:val="en-US"/>
        </w:rPr>
        <w:t>Keep a human in the loop, especially for rejected applicants. The model should support—not replace—recruitment judgement, and candidates should not be automatically rejected solely on the basis of a model score.</w:t>
      </w:r>
    </w:p>
    <w:p w14:paraId="33DA09A9" w14:textId="77777777" w:rsidR="007B1276" w:rsidRPr="007B1276" w:rsidRDefault="007B1276" w:rsidP="007B1276">
      <w:pPr>
        <w:rPr>
          <w:lang w:val="en-US"/>
        </w:rPr>
      </w:pPr>
      <w:r w:rsidRPr="007B1276">
        <w:rPr>
          <w:lang w:val="en-US"/>
        </w:rPr>
        <w:t>Document model versions, data changes, performance, fairness findings, and review decisions. Reassess the model regularly as recruitment requirements and applicant populations change.</w:t>
      </w:r>
    </w:p>
    <w:p w14:paraId="4EB15C34" w14:textId="77777777" w:rsidR="007B1276" w:rsidRPr="007B1276" w:rsidRDefault="007B1276" w:rsidP="007B1276">
      <w:pPr>
        <w:rPr>
          <w:lang w:val="en-US"/>
        </w:rPr>
      </w:pPr>
      <w:r w:rsidRPr="007B1276">
        <w:rPr>
          <w:b/>
          <w:bCs/>
          <w:lang w:val="en-US"/>
        </w:rPr>
        <w:t>8. Conclusion</w:t>
      </w:r>
    </w:p>
    <w:p w14:paraId="052B1F7F" w14:textId="77777777" w:rsidR="007B1276" w:rsidRPr="007B1276" w:rsidRDefault="007B1276" w:rsidP="007B1276">
      <w:pPr>
        <w:rPr>
          <w:lang w:val="en-US"/>
        </w:rPr>
      </w:pPr>
      <w:r w:rsidRPr="007B1276">
        <w:rPr>
          <w:lang w:val="en-US"/>
        </w:rPr>
        <w:t>The neural network showed stronger predictive performance than the decision tree in the reported comparison, with an F1 score of approximately 0.74 for offer recipients. However, the explainability audit identified a substantial concern: gender influences predictions, and proxy variables may preserve unfair patterns even if gender is removed. The data-preparation process improves consistency and retains all applicants, but these steps do not resolve the ethical and governance risks. The recommendation is therefore to withhold deployment, remove unnecessary and protected inputs, investigate historical labels and proxy effects, assess outcomes across groups, provide applicant transparency, and require meaningful human oversight.</w:t>
      </w:r>
    </w:p>
    <w:p w14:paraId="6263EE20" w14:textId="77777777" w:rsidR="007B1276" w:rsidRPr="007B1276" w:rsidRDefault="007B1276" w:rsidP="007B1276">
      <w:pPr>
        <w:rPr>
          <w:lang w:val="en-US"/>
        </w:rPr>
      </w:pPr>
      <w:r w:rsidRPr="007B1276">
        <w:rPr>
          <w:b/>
          <w:bCs/>
          <w:lang w:val="en-US"/>
        </w:rPr>
        <w:t>References</w:t>
      </w:r>
    </w:p>
    <w:p w14:paraId="2EB33B29" w14:textId="77777777" w:rsidR="007B1276" w:rsidRPr="007B1276" w:rsidRDefault="007B1276" w:rsidP="007B1276">
      <w:pPr>
        <w:rPr>
          <w:lang w:val="en-US"/>
        </w:rPr>
      </w:pPr>
      <w:r w:rsidRPr="007B1276">
        <w:rPr>
          <w:lang w:val="en-US"/>
        </w:rPr>
        <w:t>Kingma, D. P., &amp; Ba, J. (2015). Adam: A method for stochastic optimization. 3rd International Conference on Learning Representations (ICLR 2015). https://arxiv.org/abs/1412.6980</w:t>
      </w:r>
    </w:p>
    <w:p w14:paraId="2CF15F33" w14:textId="77777777" w:rsidR="007B1276" w:rsidRPr="007B1276" w:rsidRDefault="007B1276" w:rsidP="007B1276">
      <w:pPr>
        <w:rPr>
          <w:lang w:val="en-US"/>
        </w:rPr>
      </w:pPr>
      <w:r w:rsidRPr="007B1276">
        <w:rPr>
          <w:lang w:val="en-US"/>
        </w:rPr>
        <w:t>Nair, V., &amp; Hinton, G. E. (2010). Rectified linear units improve restricted Boltzmann machines. In Proceedings of the 27th International Conference on Machine Learning (ICML-10) (pp. 807–814).</w:t>
      </w:r>
    </w:p>
    <w:p w14:paraId="42DDF00F" w14:textId="77777777" w:rsidR="007B1276" w:rsidRPr="007B1276" w:rsidRDefault="007B1276" w:rsidP="007B1276">
      <w:pPr>
        <w:rPr>
          <w:lang w:val="en-US"/>
        </w:rPr>
      </w:pPr>
      <w:r w:rsidRPr="007B1276">
        <w:rPr>
          <w:lang w:val="en-US"/>
        </w:rPr>
        <w:t xml:space="preserve">Graduate Applicant Screening Model Audit | Page </w:t>
      </w:r>
    </w:p>
    <w:p w14:paraId="10B10A1B" w14:textId="77777777" w:rsidR="008505E9" w:rsidRDefault="008505E9"/>
    <w:sectPr w:rsidR="00850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276"/>
    <w:rsid w:val="007B1276"/>
    <w:rsid w:val="008505E9"/>
    <w:rsid w:val="00BB0936"/>
    <w:rsid w:val="00D67DC3"/>
    <w:rsid w:val="00E76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7C9B2"/>
  <w15:chartTrackingRefBased/>
  <w15:docId w15:val="{B0FFE894-29FD-44BC-93E9-02B9D832F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7B1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1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1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1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1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1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276"/>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7B1276"/>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7B1276"/>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7B1276"/>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7B1276"/>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7B1276"/>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7B1276"/>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7B1276"/>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7B1276"/>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7B1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1276"/>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7B1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1276"/>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7B1276"/>
    <w:pPr>
      <w:spacing w:before="160"/>
      <w:jc w:val="center"/>
    </w:pPr>
    <w:rPr>
      <w:i/>
      <w:iCs/>
      <w:color w:val="404040" w:themeColor="text1" w:themeTint="BF"/>
    </w:rPr>
  </w:style>
  <w:style w:type="character" w:customStyle="1" w:styleId="QuoteChar">
    <w:name w:val="Quote Char"/>
    <w:basedOn w:val="DefaultParagraphFont"/>
    <w:link w:val="Quote"/>
    <w:uiPriority w:val="29"/>
    <w:rsid w:val="007B1276"/>
    <w:rPr>
      <w:i/>
      <w:iCs/>
      <w:color w:val="404040" w:themeColor="text1" w:themeTint="BF"/>
      <w:lang w:val="en-AU"/>
    </w:rPr>
  </w:style>
  <w:style w:type="paragraph" w:styleId="ListParagraph">
    <w:name w:val="List Paragraph"/>
    <w:basedOn w:val="Normal"/>
    <w:uiPriority w:val="34"/>
    <w:qFormat/>
    <w:rsid w:val="007B1276"/>
    <w:pPr>
      <w:ind w:left="720"/>
      <w:contextualSpacing/>
    </w:pPr>
  </w:style>
  <w:style w:type="character" w:styleId="IntenseEmphasis">
    <w:name w:val="Intense Emphasis"/>
    <w:basedOn w:val="DefaultParagraphFont"/>
    <w:uiPriority w:val="21"/>
    <w:qFormat/>
    <w:rsid w:val="007B1276"/>
    <w:rPr>
      <w:i/>
      <w:iCs/>
      <w:color w:val="0F4761" w:themeColor="accent1" w:themeShade="BF"/>
    </w:rPr>
  </w:style>
  <w:style w:type="paragraph" w:styleId="IntenseQuote">
    <w:name w:val="Intense Quote"/>
    <w:basedOn w:val="Normal"/>
    <w:next w:val="Normal"/>
    <w:link w:val="IntenseQuoteChar"/>
    <w:uiPriority w:val="30"/>
    <w:qFormat/>
    <w:rsid w:val="007B1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1276"/>
    <w:rPr>
      <w:i/>
      <w:iCs/>
      <w:color w:val="0F4761" w:themeColor="accent1" w:themeShade="BF"/>
      <w:lang w:val="en-AU"/>
    </w:rPr>
  </w:style>
  <w:style w:type="character" w:styleId="IntenseReference">
    <w:name w:val="Intense Reference"/>
    <w:basedOn w:val="DefaultParagraphFont"/>
    <w:uiPriority w:val="32"/>
    <w:qFormat/>
    <w:rsid w:val="007B1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2005</Words>
  <Characters>11430</Characters>
  <Application>Microsoft Office Word</Application>
  <DocSecurity>0</DocSecurity>
  <Lines>95</Lines>
  <Paragraphs>26</Paragraphs>
  <ScaleCrop>false</ScaleCrop>
  <Company/>
  <LinksUpToDate>false</LinksUpToDate>
  <CharactersWithSpaces>13409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Anh Hoang</dc:creator>
  <cp:keywords/>
  <dc:description/>
  <cp:lastModifiedBy>Ngoc Anh Hoang</cp:lastModifiedBy>
  <cp:revision>1</cp:revision>
  <dcterms:created xsi:type="dcterms:W3CDTF">2026-10-28T05:15:00Z</dcterms:created>
  <dcterms:modified xsi:type="dcterms:W3CDTF">2026-10-28T05:15:00Z</dcterms:modified>
</cp:coreProperties>
</file>