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ADENOMYOSIS ẢNH HƯỞNG ART — CÁCH TIẾP CẬN HIỆN ĐẠI (CẬP NHẬT 2024–2025)</w:t>
      </w:r>
    </w:p>
    <w:p>
      <w:pPr>
        <w:pStyle w:val="Title"/>
      </w:pPr>
      <w:r>
        <w:t>ADENOMYOSIS ẢNH HƯỞNG ART — CÁCH TIẾP CẬN HIỆN ĐẠI (CẬP NHẬT 2024–2025)</w:t>
      </w:r>
    </w:p>
    <w:p>
      <w:pPr>
        <w:ind w:left="567"/>
      </w:pPr>
      <w:r>
        <w:rPr>
          <w:i/>
        </w:rPr>
        <w:t>Tổng quan về adenomyosis trong bối cảnh ART: cơ chế sinh bệnh, ảnh hưởng lên kết quả IVF, vai trò của GnRH-agonist kéo dài, freeze-all, và protocol FET tối ưu. Cập nhật evidence mới nhất 2024–2025.</w:t>
      </w:r>
    </w:p>
    <w:p>
      <w:pPr>
        <w:ind w:left="567"/>
      </w:pPr>
      <w:r>
        <w:rPr>
          <w:i/>
        </w:rPr>
        <w:t>Ngày cập nhật: 13/06/2026.</w:t>
      </w:r>
    </w:p>
    <w:p/>
    <w:p>
      <w:pPr>
        <w:pStyle w:val="Heading1"/>
      </w:pPr>
      <w:r>
        <w:t>1. ĐỊNH NGHĨA &amp; DỊCH TỄ</w:t>
      </w:r>
    </w:p>
    <w:p>
      <w:pPr>
        <w:pStyle w:val="Heading2"/>
      </w:pPr>
      <w:r>
        <w:t>1.1. Định nghĩa</w:t>
      </w:r>
    </w:p>
    <w:p>
      <w:pPr>
        <w:pStyle w:val="ListBullet"/>
      </w:pPr>
      <w:r>
        <w:rPr>
          <w:b/>
        </w:rPr>
        <w:t>Adenomyosis</w:t>
      </w:r>
      <w:r>
        <w:t xml:space="preserve">: sự hiện diện của </w:t>
      </w:r>
      <w:r>
        <w:rPr>
          <w:b/>
        </w:rPr>
        <w:t>tuyến + stroma nội mạc tử cung trong CƠ TỬ CUNG (myometrium)</w:t>
      </w:r>
      <w:r>
        <w:t>.</w:t>
      </w:r>
    </w:p>
    <w:p>
      <w:pPr>
        <w:pStyle w:val="ListBullet"/>
      </w:pPr>
      <w:r>
        <w:t xml:space="preserve">Khác với </w:t>
      </w:r>
      <w:r>
        <w:rPr>
          <w:b/>
        </w:rPr>
        <w:t>endometriosis</w:t>
      </w:r>
      <w:r>
        <w:t xml:space="preserve"> (lạc nội mạc ở NGOÀI tử cung), nhưng 2 bệnh có thể **đi kèm nhau (~30–50% phụ nữ endometriosis có adenomyosis đồng thời).</w:t>
      </w:r>
    </w:p>
    <w:p>
      <w:pPr>
        <w:pStyle w:val="ListBullet"/>
      </w:pPr>
      <w:r>
        <w:t>Tên cũ: "adenomyoma uteri", "internal endometriosis".</w:t>
      </w:r>
    </w:p>
    <w:p>
      <w:pPr>
        <w:pStyle w:val="Heading2"/>
      </w:pPr>
      <w:r>
        <w:t>1.2. Phân loại theo hình thái (Bird 1972, cập nhật 2020)</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Loại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Tỷ lệ</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Diffuse adenomyosis</w:t>
            </w:r>
          </w:p>
        </w:tc>
        <w:tc>
          <w:tcPr>
            <w:tcW w:type="dxa" w:w="2880"/>
            <w:tcBorders>
              <w:top w:val="single" w:sz="4" w:color="000000"/>
              <w:left w:val="single" w:sz="4" w:color="000000"/>
              <w:bottom w:val="single" w:sz="4" w:color="000000"/>
              <w:right w:val="single" w:sz="4" w:color="000000"/>
            </w:tcBorders>
          </w:tcPr>
          <w:p>
            <w:r/>
            <w:r>
              <w:t>Lan tỏa, không có ranh giới rõ</w:t>
            </w:r>
          </w:p>
        </w:tc>
        <w:tc>
          <w:tcPr>
            <w:tcW w:type="dxa" w:w="2880"/>
            <w:tcBorders>
              <w:top w:val="single" w:sz="4" w:color="000000"/>
              <w:left w:val="single" w:sz="4" w:color="000000"/>
              <w:bottom w:val="single" w:sz="4" w:color="000000"/>
              <w:right w:val="single" w:sz="4" w:color="000000"/>
            </w:tcBorders>
          </w:tcPr>
          <w:p>
            <w:r/>
            <w:r>
              <w:t>~70%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Focal adenomyosis (adenomyoma)</w:t>
            </w:r>
          </w:p>
        </w:tc>
        <w:tc>
          <w:tcPr>
            <w:tcW w:type="dxa" w:w="2880"/>
            <w:tcBorders>
              <w:top w:val="single" w:sz="4" w:color="000000"/>
              <w:left w:val="single" w:sz="4" w:color="000000"/>
              <w:bottom w:val="single" w:sz="4" w:color="000000"/>
              <w:right w:val="single" w:sz="4" w:color="000000"/>
            </w:tcBorders>
          </w:tcPr>
          <w:p>
            <w:r/>
            <w:r>
              <w:t>Cụm khu trú, có thể giống fibroid</w:t>
            </w:r>
          </w:p>
        </w:tc>
        <w:tc>
          <w:tcPr>
            <w:tcW w:type="dxa" w:w="2880"/>
            <w:tcBorders>
              <w:top w:val="single" w:sz="4" w:color="000000"/>
              <w:left w:val="single" w:sz="4" w:color="000000"/>
              <w:bottom w:val="single" w:sz="4" w:color="000000"/>
              <w:right w:val="single" w:sz="4" w:color="000000"/>
            </w:tcBorders>
          </w:tcPr>
          <w:p>
            <w:r/>
            <w:r>
              <w:t>~25%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Juvenile cystic adenomyoma</w:t>
            </w:r>
          </w:p>
        </w:tc>
        <w:tc>
          <w:tcPr>
            <w:tcW w:type="dxa" w:w="2880"/>
            <w:tcBorders>
              <w:top w:val="single" w:sz="4" w:color="000000"/>
              <w:left w:val="single" w:sz="4" w:color="000000"/>
              <w:bottom w:val="single" w:sz="4" w:color="000000"/>
              <w:right w:val="single" w:sz="4" w:color="000000"/>
            </w:tcBorders>
          </w:tcPr>
          <w:p>
            <w:r/>
            <w:r>
              <w:t>Ở phụ nữ trẻ, dạng nang</w:t>
            </w:r>
          </w:p>
        </w:tc>
        <w:tc>
          <w:tcPr>
            <w:tcW w:type="dxa" w:w="2880"/>
            <w:tcBorders>
              <w:top w:val="single" w:sz="4" w:color="000000"/>
              <w:left w:val="single" w:sz="4" w:color="000000"/>
              <w:bottom w:val="single" w:sz="4" w:color="000000"/>
              <w:right w:val="single" w:sz="4" w:color="000000"/>
            </w:tcBorders>
          </w:tcPr>
          <w:p>
            <w:r/>
            <w:r>
              <w:t>Hiếm</w:t>
            </w:r>
          </w:p>
        </w:tc>
      </w:tr>
    </w:tbl>
    <w:p>
      <w:pPr>
        <w:pStyle w:val="Heading2"/>
      </w:pPr>
      <w:r>
        <w:t>1.3. Phân loại theo MRI (Bazot 2018 — mới nhất, 2022)</w:t>
      </w:r>
    </w:p>
    <w:p>
      <w:pPr>
        <w:pStyle w:val="ListBullet"/>
      </w:pPr>
      <w:r>
        <w:rPr>
          <w:b/>
        </w:rPr>
        <w:t>External adenomyosis</w:t>
      </w:r>
      <w:r>
        <w:t>: tổn thương ở 1/3 ngoài myometrium (thường đi kèm endometriosis).</w:t>
      </w:r>
    </w:p>
    <w:p>
      <w:pPr>
        <w:pStyle w:val="ListBullet"/>
      </w:pPr>
      <w:r>
        <w:rPr>
          <w:b/>
        </w:rPr>
        <w:t>Internal adenomyosis</w:t>
      </w:r>
      <w:r>
        <w:t>: tổn thương ở 2/3 trong myometrium (khu trú junctional zone).</w:t>
      </w:r>
    </w:p>
    <w:p>
      <w:pPr>
        <w:pStyle w:val="ListBullet"/>
      </w:pPr>
      <w:r>
        <w:rPr>
          <w:b/>
        </w:rPr>
        <w:t>Intramural adenomyoma</w:t>
      </w:r>
      <w:r>
        <w:t>: khối rõ, đường kính &gt; 1 cm.</w:t>
      </w:r>
    </w:p>
    <w:p>
      <w:pPr>
        <w:pStyle w:val="Heading2"/>
      </w:pPr>
      <w:r>
        <w:t>1.4. Dịch tễ</w:t>
      </w:r>
    </w:p>
    <w:p>
      <w:pPr>
        <w:pStyle w:val="ListBullet"/>
      </w:pPr>
      <w:r>
        <w:rPr>
          <w:b/>
        </w:rPr>
        <w:t>Tần suất ở phụ nữ hiếm muộn</w:t>
      </w:r>
      <w:r>
        <w:t>: 20–30% (PMID 33191131, Nirgianakis 2021).</w:t>
      </w:r>
    </w:p>
    <w:p>
      <w:pPr>
        <w:pStyle w:val="ListBullet"/>
      </w:pPr>
      <w:r>
        <w:rPr>
          <w:b/>
        </w:rPr>
        <w:t>Tần suất ở phụ nữ IVF</w:t>
      </w:r>
      <w:r>
        <w:t>: 24–38% (siêu âm) → 30–50% (MRI — nhạy hơn).</w:t>
      </w:r>
    </w:p>
    <w:p>
      <w:pPr>
        <w:pStyle w:val="ListBullet"/>
      </w:pPr>
      <w:r>
        <w:rPr>
          <w:b/>
        </w:rPr>
        <w:t>Tuổi trung bình chẩn đoán</w:t>
      </w:r>
      <w:r>
        <w:t>: 35–45 tuổi (tăng theo tuổi).</w:t>
      </w:r>
    </w:p>
    <w:p>
      <w:pPr>
        <w:pStyle w:val="ListBullet"/>
      </w:pPr>
      <w:r>
        <w:t>Tại Việt Năm chưa có số liệu dịch tễ quốc gia, ước tính tương đương châu Á.</w:t>
      </w:r>
    </w:p>
    <w:p/>
    <w:p>
      <w:pPr>
        <w:pStyle w:val="Heading1"/>
      </w:pPr>
      <w:r>
        <w:t>2. CƠ CHẾ SINH BỆNH — TẠI SAO ẢNH HƯỞNG ART</w:t>
      </w:r>
    </w:p>
    <w:p>
      <w:pPr>
        <w:pStyle w:val="Heading2"/>
      </w:pPr>
      <w:r>
        <w:t>2.1. Cơ chế hình thành (2 thuyết chính)</w:t>
      </w:r>
    </w:p>
    <w:p>
      <w:pPr>
        <w:pStyle w:val="ListBullet"/>
      </w:pPr>
      <w:r>
        <w:rPr>
          <w:b/>
        </w:rPr>
        <w:t>Müllerian metaplasia</w:t>
      </w:r>
      <w:r>
        <w:t>: tế bào mầm Müllerian lạc chỗ trong myometrium biệt hóa thành nội mạc.</w:t>
      </w:r>
    </w:p>
    <w:p>
      <w:pPr>
        <w:pStyle w:val="ListBullet"/>
      </w:pPr>
      <w:r>
        <w:rPr>
          <w:b/>
        </w:rPr>
        <w:t>Invagination/direct extension</w:t>
      </w:r>
      <w:r>
        <w:t>: nội mạc tử cung xâm nhập trực tiếp vào myometrium qua vùng nối (junctional zone - JZ).</w:t>
      </w:r>
    </w:p>
    <w:p>
      <w:pPr>
        <w:pStyle w:val="Heading2"/>
      </w:pPr>
      <w:r>
        <w:t>2.2. Tổn thương giải phẫu &amp; sinh lý</w:t>
      </w:r>
    </w:p>
    <w:p>
      <w:pPr>
        <w:pStyle w:val="ListBullet"/>
      </w:pPr>
      <w:r>
        <w:rPr>
          <w:b/>
        </w:rPr>
        <w:t>Junctional zone (JZ) dày bất thường</w:t>
      </w:r>
      <w:r>
        <w:t xml:space="preserve"> (JZ &gt; 12 mm trên MRI — tiêu chuẩn Bazot).</w:t>
      </w:r>
    </w:p>
    <w:p>
      <w:pPr>
        <w:pStyle w:val="ListBullet"/>
      </w:pPr>
      <w:r>
        <w:rPr>
          <w:b/>
        </w:rPr>
        <w:t>Tăng sinh mạch máu bất thường</w:t>
      </w:r>
      <w:r>
        <w:t xml:space="preserve"> + **microvascular density cao ở vùng nội mạc lạc chỗ.</w:t>
      </w:r>
    </w:p>
    <w:p>
      <w:pPr>
        <w:pStyle w:val="ListBullet"/>
      </w:pPr>
      <w:r>
        <w:t>cổ thắt cơ tử cung bất thường** → giảm nhu động → ảnh hưởng vận chuyển tinh trùng + sự làm tổ.</w:t>
      </w:r>
    </w:p>
    <w:p>
      <w:pPr>
        <w:pStyle w:val="ListBullet"/>
      </w:pPr>
      <w:r>
        <w:rPr>
          <w:b/>
        </w:rPr>
        <w:t>Tăng oxidative stress + viêm mạn</w:t>
      </w:r>
      <w:r>
        <w:t xml:space="preserve"> → tổn thương mô + fibrose.</w:t>
      </w:r>
    </w:p>
    <w:p>
      <w:pPr>
        <w:pStyle w:val="Heading2"/>
      </w:pPr>
      <w:r>
        <w:t>2.3. Cơ chế ảnh hưởng đến ART (3 cơ chế song song)</w:t>
      </w:r>
    </w:p>
    <w:p>
      <w:r>
        <w:rPr>
          <w:b/>
        </w:rPr>
        <w:t>(1) Bất thường co cơ tử cung</w:t>
      </w:r>
    </w:p>
    <w:p>
      <w:pPr>
        <w:pStyle w:val="ListBullet"/>
      </w:pPr>
      <w:r>
        <w:t xml:space="preserve">Cơ tử cung khu vực JZ tăng co thắt bất thường → </w:t>
      </w:r>
      <w:r>
        <w:rPr>
          <w:b/>
        </w:rPr>
        <w:t>giảm tưới máu nội mạc</w:t>
      </w:r>
      <w:r>
        <w:t xml:space="preserve"> → giảm endometrial receptivity → </w:t>
      </w:r>
      <w:r>
        <w:rPr>
          <w:b/>
        </w:rPr>
        <w:t>giảm tỷ lệ làm tổ</w:t>
      </w:r>
      <w:r>
        <w:t>.</w:t>
      </w:r>
    </w:p>
    <w:p>
      <w:r>
        <w:rPr>
          <w:b/>
        </w:rPr>
        <w:t>(2) Progesterone resistance + viêm</w:t>
      </w:r>
    </w:p>
    <w:p>
      <w:pPr>
        <w:pStyle w:val="ListBullet"/>
      </w:pPr>
      <w:r>
        <w:t>Tương tự endometriosis: giảm PGR-B, HOXA10/HOXA11, integrin αvβ3 → giảm decidualization.</w:t>
      </w:r>
    </w:p>
    <w:p>
      <w:pPr>
        <w:pStyle w:val="ListBullet"/>
      </w:pPr>
      <w:r>
        <w:t>Tăng IL-6, IL-8, TNF-α, MCP-1 → tổn thương môi trường làm tổ.</w:t>
      </w:r>
    </w:p>
    <w:p>
      <w:r>
        <w:rPr>
          <w:b/>
        </w:rPr>
        <w:t>(3) Tổn thương cấu trúc + tăng sản nội mạc</w:t>
      </w:r>
    </w:p>
    <w:p>
      <w:pPr>
        <w:pStyle w:val="ListBullet"/>
      </w:pPr>
      <w:r>
        <w:t>Nội mạc tử cung mỏng + bất thường cấu trúc → giảm chất lượng nội mạc → giảm khả năng làm tổ.</w:t>
      </w:r>
    </w:p>
    <w:p>
      <w:pPr>
        <w:pStyle w:val="ListBullet"/>
      </w:pPr>
      <w:r>
        <w:t xml:space="preserve">Có thể kèm </w:t>
      </w:r>
      <w:r>
        <w:rPr>
          <w:b/>
        </w:rPr>
        <w:t>u xơ tử cung</w:t>
      </w:r>
      <w:r>
        <w:t xml:space="preserve"> (leiomyoma) → biến dạng buồng tử cung.</w:t>
      </w:r>
    </w:p>
    <w:p>
      <w:pPr>
        <w:pStyle w:val="Heading2"/>
      </w:pPr>
      <w:r>
        <w:t>2.4. Hệ quả tăng sảy thai</w:t>
      </w:r>
    </w:p>
    <w:p>
      <w:pPr>
        <w:pStyle w:val="ListBullet"/>
      </w:pPr>
      <w:r>
        <w:t>Tỷ lệ sẩy cao hơn do tưới máu nhau kém + co thắt bất thường + viêm → sẩy tự nhiên, sẩy lưu, thai chậm phát triển.</w:t>
      </w:r>
    </w:p>
    <w:p>
      <w:pPr>
        <w:pStyle w:val="ListBullet"/>
      </w:pPr>
      <w:r>
        <w:t>Tăng nguy cơ: tiền sản giật, nhau bám thấp, vỡ tử cung (hiếm).</w:t>
      </w:r>
    </w:p>
    <w:p/>
    <w:p>
      <w:pPr>
        <w:pStyle w:val="Heading1"/>
      </w:pPr>
      <w:r>
        <w:t>3. ẢNH HƯỞNG CỦA ADENOMYOSIS LÊN KẾT QUẢ IVF/ICSI</w:t>
      </w:r>
    </w:p>
    <w:p>
      <w:pPr>
        <w:pStyle w:val="Heading2"/>
      </w:pPr>
      <w:r>
        <w:t>3.1. Meta-analysis gần đây nhất</w:t>
      </w:r>
    </w:p>
    <w:p>
      <w:r>
        <w:rPr>
          <w:b/>
        </w:rPr>
        <w:t>Ge 2024 BMJ Open (PMID 39025820, n=25+ nghiên cứu)</w:t>
      </w:r>
      <w:r>
        <w:t xml:space="preserve"> — So sánh adenomyosis vs không adenomyosis:</w:t>
      </w:r>
    </w:p>
    <w:p>
      <w:pPr>
        <w:pStyle w:val="ListBullet"/>
      </w:pPr>
      <w:r>
        <w:rPr>
          <w:b/>
        </w:rPr>
        <w:t>CPR giảm 26%</w:t>
      </w:r>
      <w:r>
        <w:t>: 42.47% vs 55.89% (OR 0.74, 95% CI 0.66–0.82, p&lt;0.00001)</w:t>
      </w:r>
    </w:p>
    <w:p>
      <w:pPr>
        <w:pStyle w:val="ListBullet"/>
      </w:pPr>
      <w:r>
        <w:rPr>
          <w:b/>
        </w:rPr>
        <w:t>LBR giảm 35%</w:t>
      </w:r>
      <w:r>
        <w:t>: 30.72% vs 47.77% (OR 0.65, 95% CI 0.58–0.73, p&lt;0.00001)</w:t>
      </w:r>
    </w:p>
    <w:p>
      <w:pPr>
        <w:pStyle w:val="ListBullet"/>
      </w:pPr>
      <w:r>
        <w:rPr>
          <w:b/>
        </w:rPr>
        <w:t>Miscarriage tăng 1.9 lần</w:t>
      </w:r>
      <w:r>
        <w:t>: 27.82% vs 13.9% (OR 1.90, 95% CI 1.56–2.31, p&lt;0.00001)</w:t>
      </w:r>
    </w:p>
    <w:p>
      <w:r>
        <w:rPr>
          <w:b/>
        </w:rPr>
        <w:t>Bourdon 2025 Hum Reprod (PMID 40159349, n=570 matched case-control)</w:t>
      </w:r>
      <w:r>
        <w:t>:</w:t>
      </w:r>
    </w:p>
    <w:p>
      <w:pPr>
        <w:pStyle w:val="ListBullet"/>
      </w:pPr>
      <w:r>
        <w:t xml:space="preserve">LBR tích lũy: </w:t>
      </w:r>
      <w:r>
        <w:rPr>
          <w:b/>
        </w:rPr>
        <w:t>41.4%</w:t>
      </w:r>
      <w:r>
        <w:t xml:space="preserve"> (adenomyosis) vs </w:t>
      </w:r>
      <w:r>
        <w:rPr>
          <w:b/>
        </w:rPr>
        <w:t>51.9%</w:t>
      </w:r>
      <w:r>
        <w:t xml:space="preserve"> (control) (OR 0.65, 95% CI 0.47–0.91, p=0.012)</w:t>
      </w:r>
    </w:p>
    <w:p>
      <w:pPr>
        <w:pStyle w:val="ListBullet"/>
      </w:pPr>
      <w:r>
        <w:t>CPR: 53.3% vs 63.9% (p=0.011)</w:t>
      </w:r>
    </w:p>
    <w:p>
      <w:pPr>
        <w:pStyle w:val="ListBullet"/>
      </w:pPr>
      <w:r>
        <w:t xml:space="preserve">Sau hồi quy đa biến: </w:t>
      </w:r>
      <w:r>
        <w:rPr>
          <w:b/>
        </w:rPr>
        <w:t>adenomyosis là yếu tố nguy cơ độc lập</w:t>
      </w:r>
      <w:r>
        <w:t xml:space="preserve"> giảm LBR (OR 0.7, 95% CI 0.4–0.9).</w:t>
      </w:r>
    </w:p>
    <w:p>
      <w:r>
        <w:rPr>
          <w:b/>
        </w:rPr>
        <w:t>Cozzolino 2022 Reprod Sci (PMID 34981458)</w:t>
      </w:r>
      <w:r>
        <w:t>: meta-analysis trước đó cũng xác nhận adenomyosis giảm LBR (RR 0.66, 95% CI 0.55–0.79).</w:t>
      </w:r>
    </w:p>
    <w:p>
      <w:pPr>
        <w:pStyle w:val="Heading2"/>
      </w:pPr>
      <w:r>
        <w:t>3.2. Tóm tắt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Outcome</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Adenomyosis</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Không adenomyosis</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OR/RR</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CPR</w:t>
            </w:r>
          </w:p>
        </w:tc>
        <w:tc>
          <w:tcPr>
            <w:tcW w:type="dxa" w:w="1728"/>
            <w:tcBorders>
              <w:top w:val="single" w:sz="4" w:color="000000"/>
              <w:left w:val="single" w:sz="4" w:color="000000"/>
              <w:bottom w:val="single" w:sz="4" w:color="000000"/>
              <w:right w:val="single" w:sz="4" w:color="000000"/>
            </w:tcBorders>
          </w:tcPr>
          <w:p>
            <w:r/>
            <w:r>
              <w:t>42.5%</w:t>
            </w:r>
          </w:p>
        </w:tc>
        <w:tc>
          <w:tcPr>
            <w:tcW w:type="dxa" w:w="1728"/>
            <w:tcBorders>
              <w:top w:val="single" w:sz="4" w:color="000000"/>
              <w:left w:val="single" w:sz="4" w:color="000000"/>
              <w:bottom w:val="single" w:sz="4" w:color="000000"/>
              <w:right w:val="single" w:sz="4" w:color="000000"/>
            </w:tcBorders>
          </w:tcPr>
          <w:p>
            <w:r/>
            <w:r>
              <w:t>55.9%</w:t>
            </w:r>
          </w:p>
        </w:tc>
        <w:tc>
          <w:tcPr>
            <w:tcW w:type="dxa" w:w="1728"/>
            <w:tcBorders>
              <w:top w:val="single" w:sz="4" w:color="000000"/>
              <w:left w:val="single" w:sz="4" w:color="000000"/>
              <w:bottom w:val="single" w:sz="4" w:color="000000"/>
              <w:right w:val="single" w:sz="4" w:color="000000"/>
            </w:tcBorders>
          </w:tcPr>
          <w:p>
            <w:r/>
            <w:r>
              <w:rPr>
                <w:b/>
              </w:rPr>
              <w:t>0.74</w:t>
            </w:r>
          </w:p>
        </w:tc>
        <w:tc>
          <w:tcPr>
            <w:tcW w:type="dxa" w:w="1728"/>
            <w:tcBorders>
              <w:top w:val="single" w:sz="4" w:color="000000"/>
              <w:left w:val="single" w:sz="4" w:color="000000"/>
              <w:bottom w:val="single" w:sz="4" w:color="000000"/>
              <w:right w:val="single" w:sz="4" w:color="000000"/>
            </w:tcBorders>
          </w:tcPr>
          <w:p>
            <w:r/>
            <w:r>
              <w:t>&lt;0.0001</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LBR</w:t>
            </w:r>
          </w:p>
        </w:tc>
        <w:tc>
          <w:tcPr>
            <w:tcW w:type="dxa" w:w="1728"/>
            <w:tcBorders>
              <w:top w:val="single" w:sz="4" w:color="000000"/>
              <w:left w:val="single" w:sz="4" w:color="000000"/>
              <w:bottom w:val="single" w:sz="4" w:color="000000"/>
              <w:right w:val="single" w:sz="4" w:color="000000"/>
            </w:tcBorders>
          </w:tcPr>
          <w:p>
            <w:r/>
            <w:r>
              <w:t>30.7%</w:t>
            </w:r>
          </w:p>
        </w:tc>
        <w:tc>
          <w:tcPr>
            <w:tcW w:type="dxa" w:w="1728"/>
            <w:tcBorders>
              <w:top w:val="single" w:sz="4" w:color="000000"/>
              <w:left w:val="single" w:sz="4" w:color="000000"/>
              <w:bottom w:val="single" w:sz="4" w:color="000000"/>
              <w:right w:val="single" w:sz="4" w:color="000000"/>
            </w:tcBorders>
          </w:tcPr>
          <w:p>
            <w:r/>
            <w:r>
              <w:t>47.8%</w:t>
            </w:r>
          </w:p>
        </w:tc>
        <w:tc>
          <w:tcPr>
            <w:tcW w:type="dxa" w:w="1728"/>
            <w:tcBorders>
              <w:top w:val="single" w:sz="4" w:color="000000"/>
              <w:left w:val="single" w:sz="4" w:color="000000"/>
              <w:bottom w:val="single" w:sz="4" w:color="000000"/>
              <w:right w:val="single" w:sz="4" w:color="000000"/>
            </w:tcBorders>
          </w:tcPr>
          <w:p>
            <w:r/>
            <w:r>
              <w:rPr>
                <w:b/>
              </w:rPr>
              <w:t>0.65</w:t>
            </w:r>
          </w:p>
        </w:tc>
        <w:tc>
          <w:tcPr>
            <w:tcW w:type="dxa" w:w="1728"/>
            <w:tcBorders>
              <w:top w:val="single" w:sz="4" w:color="000000"/>
              <w:left w:val="single" w:sz="4" w:color="000000"/>
              <w:bottom w:val="single" w:sz="4" w:color="000000"/>
              <w:right w:val="single" w:sz="4" w:color="000000"/>
            </w:tcBorders>
          </w:tcPr>
          <w:p>
            <w:r/>
            <w:r>
              <w:t>&lt;0.0001</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Miscarriage</w:t>
            </w:r>
          </w:p>
        </w:tc>
        <w:tc>
          <w:tcPr>
            <w:tcW w:type="dxa" w:w="1728"/>
            <w:tcBorders>
              <w:top w:val="single" w:sz="4" w:color="000000"/>
              <w:left w:val="single" w:sz="4" w:color="000000"/>
              <w:bottom w:val="single" w:sz="4" w:color="000000"/>
              <w:right w:val="single" w:sz="4" w:color="000000"/>
            </w:tcBorders>
          </w:tcPr>
          <w:p>
            <w:r/>
            <w:r>
              <w:t>27.8%</w:t>
            </w:r>
          </w:p>
        </w:tc>
        <w:tc>
          <w:tcPr>
            <w:tcW w:type="dxa" w:w="1728"/>
            <w:tcBorders>
              <w:top w:val="single" w:sz="4" w:color="000000"/>
              <w:left w:val="single" w:sz="4" w:color="000000"/>
              <w:bottom w:val="single" w:sz="4" w:color="000000"/>
              <w:right w:val="single" w:sz="4" w:color="000000"/>
            </w:tcBorders>
          </w:tcPr>
          <w:p>
            <w:r/>
            <w:r>
              <w:t>13.9%</w:t>
            </w:r>
          </w:p>
        </w:tc>
        <w:tc>
          <w:tcPr>
            <w:tcW w:type="dxa" w:w="1728"/>
            <w:tcBorders>
              <w:top w:val="single" w:sz="4" w:color="000000"/>
              <w:left w:val="single" w:sz="4" w:color="000000"/>
              <w:bottom w:val="single" w:sz="4" w:color="000000"/>
              <w:right w:val="single" w:sz="4" w:color="000000"/>
            </w:tcBorders>
          </w:tcPr>
          <w:p>
            <w:r/>
            <w:r>
              <w:rPr>
                <w:b/>
              </w:rPr>
              <w:t>1.90</w:t>
            </w:r>
          </w:p>
        </w:tc>
        <w:tc>
          <w:tcPr>
            <w:tcW w:type="dxa" w:w="1728"/>
            <w:tcBorders>
              <w:top w:val="single" w:sz="4" w:color="000000"/>
              <w:left w:val="single" w:sz="4" w:color="000000"/>
              <w:bottom w:val="single" w:sz="4" w:color="000000"/>
              <w:right w:val="single" w:sz="4" w:color="000000"/>
            </w:tcBorders>
          </w:tcPr>
          <w:p>
            <w:r/>
            <w:r>
              <w:t>&lt;0.0001</w:t>
            </w:r>
          </w:p>
        </w:tc>
      </w:tr>
    </w:tbl>
    <w:p>
      <w:r>
        <w:t xml:space="preserve">→ </w:t>
      </w:r>
      <w:r>
        <w:rPr>
          <w:b/>
        </w:rPr>
        <w:t>Adenomyosis giảm rõ rệt tỷ lệ có thai + tăng gấp đôi tỷ lệ sẩy</w:t>
      </w:r>
      <w:r>
        <w:t>.</w:t>
      </w:r>
    </w:p>
    <w:p/>
    <w:p>
      <w:pPr>
        <w:pStyle w:val="Heading1"/>
      </w:pPr>
      <w:r>
        <w:t>4. PROTOCOL TỐI ƯU CHO ADENOMYOSIS TRONG ART</w:t>
      </w:r>
    </w:p>
    <w:p>
      <w:pPr>
        <w:pStyle w:val="Heading2"/>
      </w:pPr>
      <w:r>
        <w:t>4.1. Nguyên tắc chung (PMID 39025820, Ge 2024)</w:t>
      </w:r>
    </w:p>
    <w:p>
      <w:pPr>
        <w:pStyle w:val="ListBullet"/>
      </w:pPr>
      <w:r>
        <w:rPr>
          <w:b/>
        </w:rPr>
        <w:t>Freeze-all + FET</w:t>
      </w:r>
      <w:r>
        <w:t xml:space="preserve"> ưu tiên hơn fresh transfer.</w:t>
      </w:r>
    </w:p>
    <w:p>
      <w:pPr>
        <w:pStyle w:val="ListBullet"/>
      </w:pPr>
      <w:r>
        <w:rPr>
          <w:b/>
        </w:rPr>
        <w:t>GnRH-agonist kéo dài (Ultra-long protocol)</w:t>
      </w:r>
      <w:r>
        <w:t xml:space="preserve"> trước FET có thể cải thiện tỷ lệ có thai.</w:t>
      </w:r>
    </w:p>
    <w:p>
      <w:pPr>
        <w:pStyle w:val="ListBullet"/>
      </w:pPr>
      <w:r>
        <w:rPr>
          <w:b/>
        </w:rPr>
        <w:t>Tránh kích thích buồng trứng estrogen cao kéo dài</w:t>
      </w:r>
      <w:r>
        <w:t xml:space="preserve"> (gây tăng sinh adenomyosis).</w:t>
      </w:r>
    </w:p>
    <w:p>
      <w:pPr>
        <w:pStyle w:val="Heading2"/>
      </w:pPr>
      <w:r>
        <w:t>4.2. So sánh 4 protocol IVF (theo Ge 2024)</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Protocol</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Outcome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Long GnRH-a (Fresh ET)</w:t>
            </w:r>
          </w:p>
        </w:tc>
        <w:tc>
          <w:tcPr>
            <w:tcW w:type="dxa" w:w="2880"/>
            <w:tcBorders>
              <w:top w:val="single" w:sz="4" w:color="000000"/>
              <w:left w:val="single" w:sz="4" w:color="000000"/>
              <w:bottom w:val="single" w:sz="4" w:color="000000"/>
              <w:right w:val="single" w:sz="4" w:color="000000"/>
            </w:tcBorders>
          </w:tcPr>
          <w:p>
            <w:r/>
            <w:r>
              <w:t>GnRH-a dài + FSH + chuyển phôi tươi</w:t>
            </w:r>
          </w:p>
        </w:tc>
        <w:tc>
          <w:tcPr>
            <w:tcW w:type="dxa" w:w="2880"/>
            <w:tcBorders>
              <w:top w:val="single" w:sz="4" w:color="000000"/>
              <w:left w:val="single" w:sz="4" w:color="000000"/>
              <w:bottom w:val="single" w:sz="4" w:color="000000"/>
              <w:right w:val="single" w:sz="4" w:color="000000"/>
            </w:tcBorders>
          </w:tcPr>
          <w:p>
            <w:r/>
            <w:r>
              <w:rPr>
                <w:b/>
              </w:rPr>
              <w:t>CPR thấp (34.4%)</w:t>
            </w:r>
            <w:r>
              <w:t xml:space="preserve"> so với không AM (58.25%)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Antagonist (Fresh ET)</w:t>
            </w:r>
          </w:p>
        </w:tc>
        <w:tc>
          <w:tcPr>
            <w:tcW w:type="dxa" w:w="2880"/>
            <w:tcBorders>
              <w:top w:val="single" w:sz="4" w:color="000000"/>
              <w:left w:val="single" w:sz="4" w:color="000000"/>
              <w:bottom w:val="single" w:sz="4" w:color="000000"/>
              <w:right w:val="single" w:sz="4" w:color="000000"/>
            </w:tcBorders>
          </w:tcPr>
          <w:p>
            <w:r/>
            <w:r>
              <w:t>FSH + GnRH antagonist + chuyển tươi</w:t>
            </w:r>
          </w:p>
        </w:tc>
        <w:tc>
          <w:tcPr>
            <w:tcW w:type="dxa" w:w="2880"/>
            <w:tcBorders>
              <w:top w:val="single" w:sz="4" w:color="000000"/>
              <w:left w:val="single" w:sz="4" w:color="000000"/>
              <w:bottom w:val="single" w:sz="4" w:color="000000"/>
              <w:right w:val="single" w:sz="4" w:color="000000"/>
            </w:tcBorders>
          </w:tcPr>
          <w:p>
            <w:r/>
            <w:r>
              <w:t xml:space="preserve">Tương tự long, </w:t>
            </w:r>
            <w:r>
              <w:rPr>
                <w:b/>
              </w:rPr>
              <w:t>CPR thấp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GnRH-a + FET (Ultra-long)</w:t>
            </w:r>
          </w:p>
        </w:tc>
        <w:tc>
          <w:tcPr>
            <w:tcW w:type="dxa" w:w="2880"/>
            <w:tcBorders>
              <w:top w:val="single" w:sz="4" w:color="000000"/>
              <w:left w:val="single" w:sz="4" w:color="000000"/>
              <w:bottom w:val="single" w:sz="4" w:color="000000"/>
              <w:right w:val="single" w:sz="4" w:color="000000"/>
            </w:tcBorders>
          </w:tcPr>
          <w:p>
            <w:r/>
            <w:r>
              <w:t>GnRH-a 1–6 tháng → FET</w:t>
            </w:r>
          </w:p>
        </w:tc>
        <w:tc>
          <w:tcPr>
            <w:tcW w:type="dxa" w:w="2880"/>
            <w:tcBorders>
              <w:top w:val="single" w:sz="4" w:color="000000"/>
              <w:left w:val="single" w:sz="4" w:color="000000"/>
              <w:bottom w:val="single" w:sz="4" w:color="000000"/>
              <w:right w:val="single" w:sz="4" w:color="000000"/>
            </w:tcBorders>
          </w:tcPr>
          <w:p>
            <w:r/>
            <w:r>
              <w:rPr>
                <w:b/>
              </w:rPr>
              <w:t>CPR CẢI THIỆN</w:t>
            </w:r>
            <w:r>
              <w:t xml:space="preserve"> (51.32% vs 43.48% không AM)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FET không GnRH-a</w:t>
            </w:r>
          </w:p>
        </w:tc>
        <w:tc>
          <w:tcPr>
            <w:tcW w:type="dxa" w:w="2880"/>
            <w:tcBorders>
              <w:top w:val="single" w:sz="4" w:color="000000"/>
              <w:left w:val="single" w:sz="4" w:color="000000"/>
              <w:bottom w:val="single" w:sz="4" w:color="000000"/>
              <w:right w:val="single" w:sz="4" w:color="000000"/>
            </w:tcBorders>
          </w:tcPr>
          <w:p>
            <w:r/>
            <w:r>
              <w:t>FET đơn thuần, không pretreatment</w:t>
            </w:r>
          </w:p>
        </w:tc>
        <w:tc>
          <w:tcPr>
            <w:tcW w:type="dxa" w:w="2880"/>
            <w:tcBorders>
              <w:top w:val="single" w:sz="4" w:color="000000"/>
              <w:left w:val="single" w:sz="4" w:color="000000"/>
              <w:bottom w:val="single" w:sz="4" w:color="000000"/>
              <w:right w:val="single" w:sz="4" w:color="000000"/>
            </w:tcBorders>
          </w:tcPr>
          <w:p>
            <w:r/>
            <w:r>
              <w:t>CPR cao hơn fresh ET, nhưng miscarriage cao (30.5% vs 15.54%)</w:t>
            </w:r>
          </w:p>
        </w:tc>
      </w:tr>
    </w:tbl>
    <w:p>
      <w:pPr>
        <w:pStyle w:val="Heading2"/>
      </w:pPr>
      <w:r>
        <w:t>4.3. Kết luận Ge 2024</w:t>
      </w:r>
    </w:p>
    <w:p>
      <w:pPr>
        <w:pStyle w:val="ListBullet"/>
      </w:pPr>
      <w:r>
        <w:rPr>
          <w:b/>
        </w:rPr>
        <w:t>Fresh ET ở adenomyosis: CPR thấp</w:t>
      </w:r>
      <w:r>
        <w:t xml:space="preserve"> → tránh.</w:t>
      </w:r>
    </w:p>
    <w:p>
      <w:pPr>
        <w:pStyle w:val="ListBullet"/>
      </w:pPr>
      <w:r>
        <w:rPr>
          <w:b/>
        </w:rPr>
        <w:t>FET + GnRH-a pretreatment: CPR tốt nhất</w:t>
      </w:r>
      <w:r>
        <w:t xml:space="preserve"> (PMID 39025820).</w:t>
      </w:r>
    </w:p>
    <w:p>
      <w:pPr>
        <w:pStyle w:val="ListBullet"/>
      </w:pPr>
      <w:r>
        <w:t>**Miscarriage vẫn cao ở cả 2 nhóm FET → cần can thiệp thêm.</w:t>
      </w:r>
    </w:p>
    <w:p>
      <w:pPr>
        <w:pStyle w:val="Heading2"/>
      </w:pPr>
      <w:r>
        <w:t>4.4. Latif 2024 meta-analysis (PMID 39116480, n=2422 phụ nữ, 8 nghiên cứu)</w:t>
      </w:r>
    </w:p>
    <w:p>
      <w:pPr>
        <w:pStyle w:val="ListBullet"/>
      </w:pPr>
      <w:r>
        <w:rPr>
          <w:b/>
        </w:rPr>
        <w:t>Prolonged GnRHa (≥ 1 tháng) trước IVF/ICSI</w:t>
      </w:r>
      <w:r>
        <w:t xml:space="preserve"> ở adenomyosis:</w:t>
      </w:r>
    </w:p>
    <w:p>
      <w:pPr>
        <w:pStyle w:val="ListBullet"/>
      </w:pPr>
      <w:r>
        <w:rPr>
          <w:b/>
        </w:rPr>
        <w:t>Implantation rate tăng</w:t>
      </w:r>
      <w:r>
        <w:t>: OR 1.69 (95% CI 1.09–2.56, p=0.02)</w:t>
      </w:r>
    </w:p>
    <w:p>
      <w:pPr>
        <w:pStyle w:val="ListBullet"/>
      </w:pPr>
      <w:r>
        <w:rPr>
          <w:b/>
        </w:rPr>
        <w:t>CPR tăng</w:t>
      </w:r>
      <w:r>
        <w:t>: OR 1.42 (95% CI 1.03–2.0, p=0.03)</w:t>
      </w:r>
    </w:p>
    <w:p>
      <w:pPr>
        <w:pStyle w:val="ListBullet"/>
      </w:pPr>
      <w:r>
        <w:rPr>
          <w:b/>
        </w:rPr>
        <w:t>LBR</w:t>
      </w:r>
      <w:r>
        <w:t xml:space="preserve">: OR 1.12 (95% CI 0.70–1.79, p=0.63) — </w:t>
      </w:r>
      <w:r>
        <w:rPr>
          <w:i/>
        </w:rPr>
        <w:t>KHÔNG cải thiện có ý nghĩa</w:t>
      </w:r>
    </w:p>
    <w:p>
      <w:pPr>
        <w:pStyle w:val="ListBullet"/>
      </w:pPr>
      <w:r>
        <w:rPr>
          <w:b/>
        </w:rPr>
        <w:t>Miscarriage</w:t>
      </w:r>
      <w:r>
        <w:t xml:space="preserve">: OR 0.92 (95% CI 0.63–1.28, p=0.61) — </w:t>
      </w:r>
      <w:r>
        <w:rPr>
          <w:i/>
        </w:rPr>
        <w:t>KHÔNG cải thiện</w:t>
      </w:r>
    </w:p>
    <w:p>
      <w:pPr>
        <w:pStyle w:val="ListBullet"/>
      </w:pPr>
      <w:r>
        <w:t>Số noãn: tương đương (10 vs 9.28, p=0.22)</w:t>
      </w:r>
    </w:p>
    <w:p>
      <w:pPr>
        <w:pStyle w:val="ListBullet"/>
      </w:pPr>
      <w:r>
        <w:rPr>
          <w:b/>
        </w:rPr>
        <w:t>Thời gian GnRHa trung bình</w:t>
      </w:r>
      <w:r>
        <w:t>: 2.5 tháng (IQR 1.37–3).</w:t>
      </w:r>
    </w:p>
    <w:p>
      <w:pPr>
        <w:pStyle w:val="ListBullet"/>
      </w:pPr>
      <w:r>
        <w:t xml:space="preserve">Kết luận: GnRHa </w:t>
      </w:r>
      <w:r>
        <w:rPr>
          <w:b/>
        </w:rPr>
        <w:t>cải thiện CPR</w:t>
      </w:r>
      <w:r>
        <w:t xml:space="preserve"> nhưng </w:t>
      </w:r>
      <w:r>
        <w:rPr>
          <w:b/>
        </w:rPr>
        <w:t>KHÔNG</w:t>
      </w:r>
      <w:r>
        <w:t xml:space="preserve"> cải thiện LBR hoặc miscarriage — cần RCT tốt hơn.</w:t>
      </w:r>
    </w:p>
    <w:p>
      <w:pPr>
        <w:pStyle w:val="Heading2"/>
      </w:pPr>
      <w:r>
        <w:t>4.5. Galati 2025 J Assist Reprod Genet (PMID 39666211) — Medical treatment trước IVF</w:t>
      </w:r>
    </w:p>
    <w:p>
      <w:pPr>
        <w:pStyle w:val="ListBullet"/>
      </w:pPr>
      <w:r>
        <w:t xml:space="preserve">Hệ thống review các can thiệp y khoa trước IVF: </w:t>
      </w:r>
      <w:r>
        <w:rPr>
          <w:b/>
        </w:rPr>
        <w:t>GnRHa, dienogest, levonorgestrel IUD, ulipristal acetate</w:t>
      </w:r>
      <w:r>
        <w:t>.</w:t>
      </w:r>
    </w:p>
    <w:p>
      <w:pPr>
        <w:pStyle w:val="ListBullet"/>
      </w:pPr>
      <w:r>
        <w:t xml:space="preserve">Kết luận: </w:t>
      </w:r>
      <w:r>
        <w:rPr>
          <w:b/>
        </w:rPr>
        <w:t>GnRHa kéo dài là can thiệp được nghiên cứu nhiều nhất</w:t>
      </w:r>
      <w:r>
        <w:t xml:space="preserve"> và có tín hiệu tích cực nhất; cần thêm RCT.</w:t>
      </w:r>
    </w:p>
    <w:p/>
    <w:p>
      <w:pPr>
        <w:pStyle w:val="Heading1"/>
      </w:pPr>
      <w:r>
        <w:t>5. CHIẾN LƯỢC THỰC HÀNH 2024–2025</w:t>
      </w:r>
    </w:p>
    <w:p>
      <w:pPr>
        <w:pStyle w:val="Heading2"/>
      </w:pPr>
      <w:r>
        <w:t>5.1. Chuẩn bị trước IVF ở bệnh nhân adenomyosis</w:t>
      </w:r>
    </w:p>
    <w:p>
      <w:r>
        <w:rPr>
          <w:b/>
        </w:rPr>
        <w:t>(A) Chẩn đoán hình ảnh chính xác</w:t>
      </w:r>
    </w:p>
    <w:p>
      <w:pPr>
        <w:pStyle w:val="ListBullet"/>
      </w:pPr>
      <w:r>
        <w:rPr>
          <w:b/>
        </w:rPr>
        <w:t>Siêu âm qua âm đạo</w:t>
      </w:r>
      <w:r>
        <w:t>: tiêu chuẩn MUSA (Morphological Uterus Sonographic Assessment) 2015.</w:t>
      </w:r>
    </w:p>
    <w:p>
      <w:pPr>
        <w:pStyle w:val="ListBullet"/>
      </w:pPr>
      <w:r>
        <w:t>JZ dày &gt; 12 mm, bất đối xứng trước-sau, nốt giảm âm trong cơ, "translesional vascularity".</w:t>
      </w:r>
    </w:p>
    <w:p>
      <w:pPr>
        <w:pStyle w:val="ListBullet"/>
      </w:pPr>
      <w:r>
        <w:rPr>
          <w:b/>
        </w:rPr>
        <w:t>MRI vùng chậu (T2W + T1 fat-sat)</w:t>
      </w:r>
      <w:r>
        <w:t>: tiêu chuẩn vàng, đặc biệt khi siêu âm không kết luận được.</w:t>
      </w:r>
    </w:p>
    <w:p>
      <w:r>
        <w:rPr>
          <w:b/>
        </w:rPr>
        <w:t>(B) Đánh giá mức độ</w:t>
      </w:r>
    </w:p>
    <w:p>
      <w:pPr>
        <w:pStyle w:val="ListBullet"/>
      </w:pPr>
      <w:r>
        <w:rPr>
          <w:b/>
        </w:rPr>
        <w:t>JZ thickness</w:t>
      </w:r>
      <w:r>
        <w:t xml:space="preserve"> (MRI): &lt; 8 mm (bình thường), 8–12 mm (nghi ngờ), ≥ 12 mm (chẩn đoán).</w:t>
      </w:r>
    </w:p>
    <w:p>
      <w:pPr>
        <w:pStyle w:val="ListBullet"/>
      </w:pPr>
      <w:r>
        <w:rPr>
          <w:b/>
        </w:rPr>
        <w:t>Kích thước tử cung</w:t>
      </w:r>
      <w:r>
        <w:t>, số vùng tổn thương, kèm theo fibroid/endometriosis.</w:t>
      </w:r>
    </w:p>
    <w:p>
      <w:r>
        <w:rPr>
          <w:b/>
        </w:rPr>
        <w:t>(C) Pretreatment 3–6 tháng</w:t>
      </w:r>
    </w:p>
    <w:p>
      <w:pPr>
        <w:pStyle w:val="ListBullet"/>
      </w:pPr>
      <w:r>
        <w:rPr>
          <w:b/>
        </w:rPr>
        <w:t>GnRHa (Leuprolide 3.75 mg IM/tháng × 3–6 tháng)</w:t>
      </w:r>
      <w:r>
        <w:t xml:space="preserve"> — FIRST-LINE.</w:t>
      </w:r>
    </w:p>
    <w:p>
      <w:pPr>
        <w:pStyle w:val="ListBullet"/>
      </w:pPr>
      <w:r>
        <w:t>Mục đích: giảm estrogen tại chỗ + teo tổn thương + reset thụ thể progesterone.</w:t>
      </w:r>
    </w:p>
    <w:p>
      <w:pPr>
        <w:pStyle w:val="ListBullet"/>
      </w:pPr>
      <w:r>
        <w:t>Add-back nếu &gt; 3 tháng (NETA 5 mg + E2 0.625 mg/ngày).</w:t>
      </w:r>
    </w:p>
    <w:p>
      <w:pPr>
        <w:pStyle w:val="ListBullet"/>
      </w:pPr>
      <w:r>
        <w:rPr>
          <w:b/>
        </w:rPr>
        <w:t>Dienogest 2 mg/ngày</w:t>
      </w:r>
      <w:r>
        <w:t xml:space="preserve"> — ALTERNATIVE (nếu không dùng GnRHa được).</w:t>
      </w:r>
    </w:p>
    <w:p>
      <w:pPr>
        <w:pStyle w:val="ListBullet"/>
      </w:pPr>
      <w:r>
        <w:rPr>
          <w:b/>
        </w:rPr>
        <w:t>Mirena IUD (LNG-IUS)</w:t>
      </w:r>
      <w:r>
        <w:t xml:space="preserve"> — option cho phụ nữ không muốn tiêm.</w:t>
      </w:r>
    </w:p>
    <w:p>
      <w:r>
        <w:rPr>
          <w:b/>
        </w:rPr>
        <w:t>(D) IVF cycle</w:t>
      </w:r>
    </w:p>
    <w:p>
      <w:pPr>
        <w:pStyle w:val="ListBullet"/>
      </w:pPr>
      <w:r>
        <w:rPr>
          <w:b/>
        </w:rPr>
        <w:t>Antagonist protocol + freeze-all</w:t>
      </w:r>
      <w:r>
        <w:t xml:space="preserve"> (an toàn nhất).</w:t>
      </w:r>
    </w:p>
    <w:p>
      <w:pPr>
        <w:pStyle w:val="ListBullet"/>
      </w:pPr>
      <w:r>
        <w:rPr>
          <w:b/>
        </w:rPr>
        <w:t>Liều FSH</w:t>
      </w:r>
      <w:r>
        <w:t>: 300–450 IU/ngày (liều cao vì buồng trứng thường bị ảnh hưởng).</w:t>
      </w:r>
    </w:p>
    <w:p>
      <w:pPr>
        <w:pStyle w:val="ListBullet"/>
      </w:pPr>
      <w:r>
        <w:rPr>
          <w:b/>
        </w:rPr>
        <w:t>Trigger</w:t>
      </w:r>
      <w:r>
        <w:t>: hCG hoặc dual trigger.</w:t>
      </w:r>
    </w:p>
    <w:p>
      <w:pPr>
        <w:pStyle w:val="ListBullet"/>
      </w:pPr>
      <w:r>
        <w:rPr>
          <w:b/>
        </w:rPr>
        <w:t>Chọc hút noãn</w:t>
      </w:r>
      <w:r>
        <w:t xml:space="preserve"> + ICSI nếu cần.</w:t>
      </w:r>
    </w:p>
    <w:p>
      <w:pPr>
        <w:pStyle w:val="ListBullet"/>
      </w:pPr>
      <w:r>
        <w:rPr>
          <w:b/>
        </w:rPr>
        <w:t>Freeze toàn bộ phôi</w:t>
      </w:r>
      <w:r>
        <w:t xml:space="preserve"> (cryopreserve tất cả).</w:t>
      </w:r>
    </w:p>
    <w:p>
      <w:r>
        <w:rPr>
          <w:b/>
        </w:rPr>
        <w:t>(E) FET cycle</w:t>
      </w:r>
    </w:p>
    <w:p>
      <w:pPr>
        <w:pStyle w:val="ListBullet"/>
      </w:pPr>
      <w:r>
        <w:rPr>
          <w:b/>
        </w:rPr>
        <w:t>Cá nhân hóa</w:t>
      </w:r>
      <w:r>
        <w:t xml:space="preserve"> dựa trên chu kỳ bệnh nhân.</w:t>
      </w:r>
    </w:p>
    <w:p>
      <w:pPr>
        <w:pStyle w:val="ListBullet"/>
      </w:pPr>
      <w:r>
        <w:rPr>
          <w:b/>
        </w:rPr>
        <w:t>NC-FET</w:t>
      </w:r>
      <w:r>
        <w:t xml:space="preserve"> ưu tiên nếu có rụng trứng tự nhiên (giảm nguy cơ biến chứng sản khoa).</w:t>
      </w:r>
    </w:p>
    <w:p>
      <w:pPr>
        <w:pStyle w:val="ListBullet"/>
      </w:pPr>
      <w:r>
        <w:rPr>
          <w:b/>
        </w:rPr>
        <w:t>AC-FET + GnRHa pretreatment</w:t>
      </w:r>
      <w:r>
        <w:t xml:space="preserve"> (ultralong) nếu muốn tối ưu endometrial receptivity.</w:t>
      </w:r>
    </w:p>
    <w:p>
      <w:pPr>
        <w:pStyle w:val="ListBullet"/>
      </w:pPr>
      <w:r>
        <w:rPr>
          <w:b/>
        </w:rPr>
        <w:t>Progesterone đầy đủ</w:t>
      </w:r>
      <w:r>
        <w:t xml:space="preserve"> (P4 huyết thanh ≥ 10 ng/mL).</w:t>
      </w:r>
    </w:p>
    <w:p>
      <w:pPr>
        <w:pStyle w:val="Heading2"/>
      </w:pPr>
      <w:r>
        <w:t>5.2. Lưu đồ đề xuất</w:t>
      </w:r>
    </w:p>
    <w:p>
      <w:r>
        <w:rPr>
          <w:rFonts w:ascii="Consolas" w:hAnsi="Consolas"/>
          <w:sz w:val="18"/>
        </w:rPr>
        <w:t>Bệnh nhân adenomyosis cần IVF</w:t>
        <w:br/>
        <w:t>│</w:t>
        <w:br/>
        <w:t>├── Chẩn đoán: siêu âm + (MRI nếu cần)</w:t>
        <w:br/>
        <w:t>├── Đánh giá mức độ: JZ thickness, số vùng, kèm theo ENDO/fibroid</w:t>
        <w:br/>
        <w:t>│</w:t>
        <w:br/>
        <w:t>├── Pretreatment 3-6 tháng:</w:t>
        <w:br/>
        <w:t>│   ├── GnRHa (Leuprolide 3.75 mg/tháng) - FIRST-LINE</w:t>
        <w:br/>
        <w:t>│   │   + add-back nếu &gt; 3 tháng</w:t>
        <w:br/>
        <w:t>│   ├── Dienogest 2mg/ngày - alternative</w:t>
        <w:br/>
        <w:t>│   └── Mirena IUD - option khác</w:t>
        <w:br/>
        <w:t>│</w:t>
        <w:br/>
        <w:t>├── Sau pretreatment:</w:t>
        <w:br/>
        <w:t>│   ├── Siêu âm đánh giá lại kích thước tử cung + JZ</w:t>
        <w:br/>
        <w:t>│   ├── IVF cycle: Antagonist + FSH 300-450 IU + freeze-all</w:t>
        <w:br/>
        <w:t>│   ├── Chọc hút + ICSI + đông lạnh toàn bộ phôi</w:t>
        <w:br/>
        <w:t>│   └── FET cycle (sau 1-2 tháng):</w:t>
        <w:br/>
        <w:t>│       ├── NC-FET ưu tiên (nếu có rụng trứng)</w:t>
        <w:br/>
        <w:t>│       └── AC-FET + P4 vaginal (nếu không rụng trứng)</w:t>
        <w:br/>
        <w:t>│</w:t>
        <w:br/>
        <w:t>└── Theo dõi thai:</w:t>
        <w:br/>
        <w:t xml:space="preserve">    ├── Aspirin 81 mg từ 12 tuần (dự phòng HDP)</w:t>
        <w:br/>
        <w:t xml:space="preserve">    ├── Siêu âm hình thái 18-22 tuần</w:t>
        <w:br/>
        <w:t xml:space="preserve">    └── Theo dõi sẩy thai tự nhiên (nguy cơ cao)</w:t>
      </w:r>
    </w:p>
    <w:p>
      <w:pPr>
        <w:pStyle w:val="Heading2"/>
      </w:pPr>
      <w:r>
        <w:t>5.3. So sánh 4 protocol kích thích + chuyển phôi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Protocol</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đích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Hiệu quả</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Long GnRH-a (fresh ET)</w:t>
            </w:r>
          </w:p>
        </w:tc>
        <w:tc>
          <w:tcPr>
            <w:tcW w:type="dxa" w:w="2880"/>
            <w:tcBorders>
              <w:top w:val="single" w:sz="4" w:color="000000"/>
              <w:left w:val="single" w:sz="4" w:color="000000"/>
              <w:bottom w:val="single" w:sz="4" w:color="000000"/>
              <w:right w:val="single" w:sz="4" w:color="000000"/>
            </w:tcBorders>
          </w:tcPr>
          <w:p>
            <w:r/>
            <w:r>
              <w:t>Ức chế HPO + ET tươi</w:t>
            </w:r>
          </w:p>
        </w:tc>
        <w:tc>
          <w:tcPr>
            <w:tcW w:type="dxa" w:w="2880"/>
            <w:tcBorders>
              <w:top w:val="single" w:sz="4" w:color="000000"/>
              <w:left w:val="single" w:sz="4" w:color="000000"/>
              <w:bottom w:val="single" w:sz="4" w:color="000000"/>
              <w:right w:val="single" w:sz="4" w:color="000000"/>
            </w:tcBorders>
          </w:tcPr>
          <w:p>
            <w:r/>
            <w:r>
              <w:t>CPR thấp (~34.4%)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Antagonist (fresh ET)</w:t>
            </w:r>
          </w:p>
        </w:tc>
        <w:tc>
          <w:tcPr>
            <w:tcW w:type="dxa" w:w="2880"/>
            <w:tcBorders>
              <w:top w:val="single" w:sz="4" w:color="000000"/>
              <w:left w:val="single" w:sz="4" w:color="000000"/>
              <w:bottom w:val="single" w:sz="4" w:color="000000"/>
              <w:right w:val="single" w:sz="4" w:color="000000"/>
            </w:tcBorders>
          </w:tcPr>
          <w:p>
            <w:r/>
            <w:r>
              <w:t>Linh hoạt + ET tươi</w:t>
            </w:r>
          </w:p>
        </w:tc>
        <w:tc>
          <w:tcPr>
            <w:tcW w:type="dxa" w:w="2880"/>
            <w:tcBorders>
              <w:top w:val="single" w:sz="4" w:color="000000"/>
              <w:left w:val="single" w:sz="4" w:color="000000"/>
              <w:bottom w:val="single" w:sz="4" w:color="000000"/>
              <w:right w:val="single" w:sz="4" w:color="000000"/>
            </w:tcBorders>
          </w:tcPr>
          <w:p>
            <w:r/>
            <w:r>
              <w:t>CPR thấp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GnRHa + FET (ultralong)</w:t>
            </w:r>
          </w:p>
        </w:tc>
        <w:tc>
          <w:tcPr>
            <w:tcW w:type="dxa" w:w="2880"/>
            <w:tcBorders>
              <w:top w:val="single" w:sz="4" w:color="000000"/>
              <w:left w:val="single" w:sz="4" w:color="000000"/>
              <w:bottom w:val="single" w:sz="4" w:color="000000"/>
              <w:right w:val="single" w:sz="4" w:color="000000"/>
            </w:tcBorders>
          </w:tcPr>
          <w:p>
            <w:r/>
            <w:r>
              <w:t>Ức chế lâu + freeze</w:t>
            </w:r>
          </w:p>
        </w:tc>
        <w:tc>
          <w:tcPr>
            <w:tcW w:type="dxa" w:w="2880"/>
            <w:tcBorders>
              <w:top w:val="single" w:sz="4" w:color="000000"/>
              <w:left w:val="single" w:sz="4" w:color="000000"/>
              <w:bottom w:val="single" w:sz="4" w:color="000000"/>
              <w:right w:val="single" w:sz="4" w:color="000000"/>
            </w:tcBorders>
          </w:tcPr>
          <w:p>
            <w:r/>
            <w:r>
              <w:rPr>
                <w:b/>
              </w:rPr>
              <w:t>CPR cao nhất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NC-FET/AC-FET đơn thuần</w:t>
            </w:r>
          </w:p>
        </w:tc>
        <w:tc>
          <w:tcPr>
            <w:tcW w:type="dxa" w:w="2880"/>
            <w:tcBorders>
              <w:top w:val="single" w:sz="4" w:color="000000"/>
              <w:left w:val="single" w:sz="4" w:color="000000"/>
              <w:bottom w:val="single" w:sz="4" w:color="000000"/>
              <w:right w:val="single" w:sz="4" w:color="000000"/>
            </w:tcBorders>
          </w:tcPr>
          <w:p>
            <w:r/>
            <w:r>
              <w:t>Không GnRHa</w:t>
            </w:r>
          </w:p>
        </w:tc>
        <w:tc>
          <w:tcPr>
            <w:tcW w:type="dxa" w:w="2880"/>
            <w:tcBorders>
              <w:top w:val="single" w:sz="4" w:color="000000"/>
              <w:left w:val="single" w:sz="4" w:color="000000"/>
              <w:bottom w:val="single" w:sz="4" w:color="000000"/>
              <w:right w:val="single" w:sz="4" w:color="000000"/>
            </w:tcBorders>
          </w:tcPr>
          <w:p>
            <w:r/>
            <w:r>
              <w:t>Trung bình</w:t>
            </w:r>
          </w:p>
        </w:tc>
      </w:tr>
    </w:tbl>
    <w:p>
      <w:r>
        <w:t xml:space="preserve">→ </w:t>
      </w:r>
      <w:r>
        <w:rPr>
          <w:b/>
        </w:rPr>
        <w:t>Khuyến cáo 2024–2025: GnRHa kéo dài 3–6 tháng + FET</w:t>
      </w:r>
      <w:r>
        <w:t xml:space="preserve"> cho adenomyosis.</w:t>
      </w:r>
    </w:p>
    <w:p/>
    <w:p>
      <w:pPr>
        <w:pStyle w:val="Heading1"/>
      </w:pPr>
      <w:r>
        <w:t>6. CÁC VẤN ĐỀ ĐẶC BIỆT KHI MANG THAI</w:t>
      </w:r>
    </w:p>
    <w:p>
      <w:pPr>
        <w:pStyle w:val="Heading2"/>
      </w:pPr>
      <w:r>
        <w:t>6.1. Tăng nguy cơ sản khoa</w:t>
      </w:r>
    </w:p>
    <w:p>
      <w:pPr>
        <w:pStyle w:val="ListBullet"/>
      </w:pPr>
      <w:r>
        <w:rPr>
          <w:b/>
        </w:rPr>
        <w:t>Sẩy thai tự nhiên</w:t>
      </w:r>
      <w:r>
        <w:t>: OR 1.90 (PMID 39025820).</w:t>
      </w:r>
    </w:p>
    <w:p>
      <w:pPr>
        <w:pStyle w:val="ListBullet"/>
      </w:pPr>
      <w:r>
        <w:rPr>
          <w:b/>
        </w:rPr>
        <w:t>Tiền sản giật</w:t>
      </w:r>
      <w:r>
        <w:t>: tăng nhẹ.</w:t>
      </w:r>
    </w:p>
    <w:p>
      <w:pPr>
        <w:pStyle w:val="ListBullet"/>
      </w:pPr>
      <w:r>
        <w:t>nhau bám thấp/nhau tiền đạo**: tăng (do adenomyosis ở đoạn dưới tử cung).</w:t>
      </w:r>
    </w:p>
    <w:p>
      <w:pPr>
        <w:pStyle w:val="ListBullet"/>
      </w:pPr>
      <w:r>
        <w:rPr>
          <w:b/>
        </w:rPr>
        <w:t>Vỡ tử cung</w:t>
      </w:r>
      <w:r>
        <w:t>: hiếm nhưng có ca lâm sàng báo cáo.</w:t>
      </w:r>
    </w:p>
    <w:p>
      <w:pPr>
        <w:pStyle w:val="ListBullet"/>
      </w:pPr>
      <w:r>
        <w:t>**Đẻ nôn tăng (~30–40% so với 10% bình thường).</w:t>
      </w:r>
    </w:p>
    <w:p>
      <w:pPr>
        <w:pStyle w:val="ListBullet"/>
      </w:pPr>
      <w:r>
        <w:t>thai chậm phát triển trong tử cung (FGR)**: tăng.</w:t>
      </w:r>
    </w:p>
    <w:p>
      <w:pPr>
        <w:pStyle w:val="Heading2"/>
      </w:pPr>
      <w:r>
        <w:t>6.2. Tư vấn bệnh nhân</w:t>
      </w:r>
    </w:p>
    <w:p>
      <w:pPr>
        <w:pStyle w:val="ListBullet"/>
      </w:pPr>
      <w:r>
        <w:t>Tỷ lệ có thai giảm 35% so với không adenomyosis.</w:t>
      </w:r>
    </w:p>
    <w:p>
      <w:pPr>
        <w:pStyle w:val="ListBullet"/>
      </w:pPr>
      <w:r>
        <w:t>Tỷ lệ sẩy gần gấp đôi.</w:t>
      </w:r>
    </w:p>
    <w:p>
      <w:pPr>
        <w:pStyle w:val="ListBullet"/>
      </w:pPr>
      <w:r>
        <w:t xml:space="preserve">Cần </w:t>
      </w:r>
      <w:r>
        <w:rPr>
          <w:b/>
        </w:rPr>
        <w:t>theo dõi sát</w:t>
      </w:r>
      <w:r>
        <w:t xml:space="preserve"> trong 3 tháng đầu + 3 tháng cuối thai kỳ.</w:t>
      </w:r>
    </w:p>
    <w:p>
      <w:pPr>
        <w:pStyle w:val="ListBullet"/>
      </w:pPr>
      <w:r>
        <w:t>aspirin 81 mg** từ 12 tuần (dự phòng HDP).</w:t>
      </w:r>
    </w:p>
    <w:p/>
    <w:p>
      <w:pPr>
        <w:pStyle w:val="Heading1"/>
      </w:pPr>
      <w:r>
        <w:t>7. CHECKLIST LÂM SÀNG</w:t>
      </w:r>
    </w:p>
    <w:p>
      <w:pPr>
        <w:pStyle w:val="Heading2"/>
      </w:pPr>
      <w:r>
        <w:t>7.1. Trước IVF</w:t>
      </w:r>
    </w:p>
    <w:p>
      <w:pPr>
        <w:pStyle w:val="ListBullet"/>
      </w:pPr>
      <w:r>
        <w:t>[ ] Chẩn đoán adenomyosis chắc chắn (siêu âm MUSA + MRI nếu cần).</w:t>
      </w:r>
    </w:p>
    <w:p>
      <w:pPr>
        <w:pStyle w:val="ListBullet"/>
      </w:pPr>
      <w:r>
        <w:t>[ ] Đánh giá mức độ + vị trí tổn thương.</w:t>
      </w:r>
    </w:p>
    <w:p>
      <w:pPr>
        <w:pStyle w:val="ListBullet"/>
      </w:pPr>
      <w:r>
        <w:t>[ ] Loại trừ chống chỉ định với GnRHa.</w:t>
      </w:r>
    </w:p>
    <w:p>
      <w:pPr>
        <w:pStyle w:val="ListBullet"/>
      </w:pPr>
      <w:r>
        <w:t>[ ] Tư vấn bệnh nhân: giảm 35% LBR + tăng 90% miscarriage.</w:t>
      </w:r>
    </w:p>
    <w:p>
      <w:pPr>
        <w:pStyle w:val="ListBullet"/>
      </w:pPr>
      <w:r>
        <w:t>[ ] Pretreatment 3–6 tháng GnRHa.</w:t>
      </w:r>
    </w:p>
    <w:p>
      <w:pPr>
        <w:pStyle w:val="ListBullet"/>
      </w:pPr>
      <w:r>
        <w:t>[ ] AMH, AFC, FSH trước khi bắt đầu kích thích.</w:t>
      </w:r>
    </w:p>
    <w:p>
      <w:pPr>
        <w:pStyle w:val="Heading2"/>
      </w:pPr>
      <w:r>
        <w:t>7.2. Trong IVF</w:t>
      </w:r>
    </w:p>
    <w:p>
      <w:pPr>
        <w:pStyle w:val="ListBullet"/>
      </w:pPr>
      <w:r>
        <w:t>[ ] Antagonist protocol + FSH 300–450 IU.</w:t>
      </w:r>
    </w:p>
    <w:p>
      <w:pPr>
        <w:pStyle w:val="ListBullet"/>
      </w:pPr>
      <w:r>
        <w:t>[ ] Freeze-all toàn bộ phôi.</w:t>
      </w:r>
    </w:p>
    <w:p>
      <w:pPr>
        <w:pStyle w:val="ListBullet"/>
      </w:pPr>
      <w:r>
        <w:t>[ ] Siêu âm tử cung sau kích thích.</w:t>
      </w:r>
    </w:p>
    <w:p>
      <w:pPr>
        <w:pStyle w:val="Heading2"/>
      </w:pPr>
      <w:r>
        <w:t>7.3. FET cycle</w:t>
      </w:r>
    </w:p>
    <w:p>
      <w:pPr>
        <w:pStyle w:val="ListBullet"/>
      </w:pPr>
      <w:r>
        <w:t>[ ] NC-FET nếu có rụng trứng (PMID 41063059, ưu tiên cho adenomyosis vì giảm HDP).</w:t>
      </w:r>
    </w:p>
    <w:p>
      <w:pPr>
        <w:pStyle w:val="ListBullet"/>
      </w:pPr>
      <w:r>
        <w:t>[ ] AC-FET nếu cần.</w:t>
      </w:r>
    </w:p>
    <w:p>
      <w:pPr>
        <w:pStyle w:val="ListBullet"/>
      </w:pPr>
      <w:r>
        <w:t>[ ] P4 huyết thanh ≥ 10 ng/mL (PMID 42152091).</w:t>
      </w:r>
    </w:p>
    <w:p>
      <w:pPr>
        <w:pStyle w:val="ListBullet"/>
      </w:pPr>
      <w:r>
        <w:t>[ ] eSET nếu phôi tốt.</w:t>
      </w:r>
    </w:p>
    <w:p>
      <w:pPr>
        <w:pStyle w:val="Heading2"/>
      </w:pPr>
      <w:r>
        <w:t>7.4. Sau có thai</w:t>
      </w:r>
    </w:p>
    <w:p>
      <w:pPr>
        <w:pStyle w:val="ListBullet"/>
      </w:pPr>
      <w:r>
        <w:t>[ ] Aspirin 81 mg từ 12 tuần.</w:t>
      </w:r>
    </w:p>
    <w:p>
      <w:pPr>
        <w:pStyle w:val="ListBullet"/>
      </w:pPr>
      <w:r>
        <w:t>[ ] Theo dõi sẩy + HDP + nhau bám thấp.</w:t>
      </w:r>
    </w:p>
    <w:p>
      <w:pPr>
        <w:pStyle w:val="ListBullet"/>
      </w:pPr>
      <w:r>
        <w:t>[ ] Siêu âm hình thái 18–22 tuần.</w:t>
      </w:r>
    </w:p>
    <w:p>
      <w:pPr>
        <w:pStyle w:val="ListBullet"/>
      </w:pPr>
      <w:r>
        <w:t>[ ] Tư vấn tâm lý vì tăng nguy cơ sẩy.</w:t>
      </w:r>
    </w:p>
    <w:p/>
    <w:p>
      <w:pPr>
        <w:pStyle w:val="Heading1"/>
      </w:pPr>
      <w:r>
        <w:t>8. ĐIỂM CẦN NHỚ (MEMORY HOOKS)</w:t>
      </w:r>
    </w:p>
    <w:p>
      <w:pPr>
        <w:pStyle w:val="ListBullet"/>
      </w:pPr>
      <w:r>
        <w:rPr>
          <w:b/>
        </w:rPr>
        <w:t>Adenomyosis giảm LBR 35%</w:t>
      </w:r>
      <w:r>
        <w:t xml:space="preserve"> (OR 0.65) + </w:t>
      </w:r>
      <w:r>
        <w:rPr>
          <w:b/>
        </w:rPr>
        <w:t>tăng miscarriage 90%</w:t>
      </w:r>
      <w:r>
        <w:t xml:space="preserve"> (OR 1.90) theo Ge 2024 BMJ Open.</w:t>
      </w:r>
    </w:p>
    <w:p>
      <w:pPr>
        <w:pStyle w:val="ListBullet"/>
      </w:pPr>
      <w:r>
        <w:rPr>
          <w:b/>
        </w:rPr>
        <w:t>Freeze-all + FET</w:t>
      </w:r>
      <w:r>
        <w:t xml:space="preserve"> ưu tiên hơn fresh transfer ở adenomyosis.</w:t>
      </w:r>
    </w:p>
    <w:p>
      <w:pPr>
        <w:pStyle w:val="ListBullet"/>
      </w:pPr>
      <w:r>
        <w:rPr>
          <w:b/>
        </w:rPr>
        <w:t>GnRHa kéo dài 3–6 tháng</w:t>
      </w:r>
      <w:r>
        <w:t xml:space="preserve"> trước FET cải thiện CPR (PMID 39025820) + implantation rate (PMID 39116480) — </w:t>
      </w:r>
      <w:r>
        <w:rPr>
          <w:i/>
        </w:rPr>
        <w:t>NHƯNG không cải thiện LBR hoặc miscarriage một cách rõ ràng</w:t>
      </w:r>
      <w:r>
        <w:t xml:space="preserve"> theo Latif 2024.</w:t>
      </w:r>
    </w:p>
    <w:p>
      <w:pPr>
        <w:pStyle w:val="ListBullet"/>
      </w:pPr>
      <w:r>
        <w:rPr>
          <w:b/>
        </w:rPr>
        <w:t>Antagonist protocol</w:t>
      </w:r>
      <w:r>
        <w:t xml:space="preserve"> + freeze-all + eSET là approach thực tế tối ưu.</w:t>
      </w:r>
    </w:p>
    <w:p>
      <w:pPr>
        <w:pStyle w:val="ListBullet"/>
      </w:pPr>
      <w:r>
        <w:rPr>
          <w:b/>
        </w:rPr>
        <w:t>NC-FET ưu tiên</w:t>
      </w:r>
      <w:r>
        <w:t xml:space="preserve"> nếu có rụng trứng tự nhiên (PMID 41063059 từ bài FET LNMT — tương tự cho adenomyosis vì cùng cơ chế).</w:t>
      </w:r>
    </w:p>
    <w:p>
      <w:pPr>
        <w:pStyle w:val="ListBullet"/>
      </w:pPr>
      <w:r>
        <w:rPr>
          <w:b/>
        </w:rPr>
        <w:t>P4 huyết thanh ≥ 10 ng/mL</w:t>
      </w:r>
      <w:r>
        <w:t xml:space="preserve"> sau chuyển phôi (đặc biệt ở adenomyosis).</w:t>
      </w:r>
    </w:p>
    <w:p>
      <w:pPr>
        <w:pStyle w:val="ListBullet"/>
      </w:pPr>
      <w:r>
        <w:t>aspirin 81 mg** từ 12 tuần dự phòng HDP.</w:t>
      </w:r>
    </w:p>
    <w:p>
      <w:pPr>
        <w:pStyle w:val="ListBullet"/>
      </w:pPr>
      <w:r>
        <w:rPr>
          <w:b/>
        </w:rPr>
        <w:t>Bourdon 2025 (n=570 matched)</w:t>
      </w:r>
      <w:r>
        <w:t>: adenomyosis là yếu tố nguy cơ độc lập giảm LBR (OR 0.7).</w:t>
      </w:r>
    </w:p>
    <w:p/>
    <w:p>
      <w:pPr>
        <w:pStyle w:val="Heading1"/>
      </w:pPr>
      <w:r>
        <w:t>9. TÀI LIỆU THAM KHẢO (PMID)</w:t>
      </w:r>
    </w:p>
    <w:p>
      <w:pPr>
        <w:pStyle w:val="ListNumber"/>
      </w:pPr>
      <w:r>
        <w:rPr>
          <w:b/>
        </w:rPr>
        <w:t>Ge L, Li Y, Zhou J, Zhao X, Chen X, Wang W, Li Z, Ge P, Cui L.</w:t>
      </w:r>
      <w:r>
        <w:t xml:space="preserve"> Effect of different treatment protocols on in vitro fertilisation/intracytoplasmic sperm injection (IVF/ICSI) outcomes in adenomyosis women: a systematic review and meta-analysis. </w:t>
      </w:r>
      <w:r>
        <w:rPr>
          <w:i/>
        </w:rPr>
        <w:t>BMJ Open</w:t>
      </w:r>
      <w:r>
        <w:t xml:space="preserve"> 2024;14(7):e077025. </w:t>
      </w:r>
      <w:r>
        <w:rPr>
          <w:b/>
        </w:rPr>
        <w:t>PMID: 39025820</w:t>
      </w:r>
      <w:r>
        <w:t>. DOI: 10.1136/bmjopen-2023-077025.</w:t>
      </w:r>
    </w:p>
    <w:p>
      <w:pPr>
        <w:pStyle w:val="ListNumber"/>
      </w:pPr>
      <w:r>
        <w:rPr>
          <w:b/>
        </w:rPr>
        <w:t>Latif S, Kastora S, Al Wattar BH, Yasmin E, Saridogan E, Mavrelos D.</w:t>
      </w:r>
      <w:r>
        <w:t xml:space="preserve"> The effectiveness of prolonged downregulation with gonadotrophin-releasing hormone analogue (GnRHa) treatment in women with adenomyosis undergoing IVF/ICSI: A systematic review and meta-analysis. </w:t>
      </w:r>
      <w:r>
        <w:rPr>
          <w:i/>
        </w:rPr>
        <w:t>Eur J Obstet Gynecol Reprod Biol</w:t>
      </w:r>
      <w:r>
        <w:t xml:space="preserve"> 2024;301:87-94. </w:t>
      </w:r>
      <w:r>
        <w:rPr>
          <w:b/>
        </w:rPr>
        <w:t>PMID: 39116480</w:t>
      </w:r>
      <w:r>
        <w:t>. DOI: 10.1016/j.ejogrb.2024.07.063.</w:t>
      </w:r>
    </w:p>
    <w:p>
      <w:pPr>
        <w:pStyle w:val="ListNumber"/>
      </w:pPr>
      <w:r>
        <w:rPr>
          <w:b/>
        </w:rPr>
        <w:t>Bourdon M, Mimouni A, Maignien C, Casalechi M, Vigano P, Bordonne C, Millisher AE, Patrat C, Marcellin L, Chapron C, Santulli P.</w:t>
      </w:r>
      <w:r>
        <w:t xml:space="preserve"> Reduced live birth rates following ART in adenomyosis patients: a matched control study. </w:t>
      </w:r>
      <w:r>
        <w:rPr>
          <w:i/>
        </w:rPr>
        <w:t>Hum Reprod</w:t>
      </w:r>
      <w:r>
        <w:t xml:space="preserve"> 2025;40(5):855-864. </w:t>
      </w:r>
      <w:r>
        <w:rPr>
          <w:b/>
        </w:rPr>
        <w:t>PMID: 40159349</w:t>
      </w:r>
      <w:r>
        <w:t>. DOI: 10.1093/humrep/deaf052.</w:t>
      </w:r>
    </w:p>
    <w:p>
      <w:pPr>
        <w:pStyle w:val="ListNumber"/>
      </w:pPr>
      <w:r>
        <w:rPr>
          <w:b/>
        </w:rPr>
        <w:t>Galati G, et al.</w:t>
      </w:r>
      <w:r>
        <w:t xml:space="preserve"> Medical treatment before in-vitro fertilization in patients with adenomyosis: a systematic review and meta-analysis. </w:t>
      </w:r>
      <w:r>
        <w:rPr>
          <w:i/>
        </w:rPr>
        <w:t>J Assist Reprod Genet</w:t>
      </w:r>
      <w:r>
        <w:t xml:space="preserve"> 2025. </w:t>
      </w:r>
      <w:r>
        <w:rPr>
          <w:b/>
        </w:rPr>
        <w:t>PMID: 39666211</w:t>
      </w:r>
      <w:r>
        <w:t>. DOI: 10.1007/s10815-024-03323-2.</w:t>
      </w:r>
    </w:p>
    <w:p>
      <w:pPr>
        <w:pStyle w:val="ListNumber"/>
      </w:pPr>
      <w:r>
        <w:rPr>
          <w:b/>
        </w:rPr>
        <w:t>Cozzolino M, et al.</w:t>
      </w:r>
      <w:r>
        <w:t xml:space="preserve"> The Effect of Uterine Adenomyosis on IVF Outcomes: a Systematic Review and Meta-analysis. </w:t>
      </w:r>
      <w:r>
        <w:rPr>
          <w:i/>
        </w:rPr>
        <w:t>Reprod Sci</w:t>
      </w:r>
      <w:r>
        <w:t xml:space="preserve"> 2022. </w:t>
      </w:r>
      <w:r>
        <w:rPr>
          <w:b/>
        </w:rPr>
        <w:t>PMID: 34981458</w:t>
      </w:r>
      <w:r>
        <w:t>. DOI: 10.1007/s43032-021-00818-6.</w:t>
      </w:r>
    </w:p>
    <w:p>
      <w:pPr>
        <w:pStyle w:val="ListNumber"/>
      </w:pPr>
      <w:r>
        <w:rPr>
          <w:b/>
        </w:rPr>
        <w:t>Nirgianakis K, Kalaitzopoulos DR, Schwartz ASK, et al.</w:t>
      </w:r>
      <w:r>
        <w:t xml:space="preserve"> Fertility, pregnancy and neonatal outcomes of patients with adenomyosis: a systematic review and meta-analysis. </w:t>
      </w:r>
      <w:r>
        <w:rPr>
          <w:i/>
        </w:rPr>
        <w:t>Reprod Biomed Online</w:t>
      </w:r>
      <w:r>
        <w:t xml:space="preserve"> 2021. </w:t>
      </w:r>
      <w:r>
        <w:rPr>
          <w:b/>
        </w:rPr>
        <w:t>PMID: 33191131</w:t>
      </w:r>
      <w:r>
        <w:t>. DOI: 10.1016/j.rbmo.2020.09.023.</w:t>
      </w:r>
    </w:p>
    <w:p>
      <w:pPr>
        <w:pStyle w:val="ListNumber"/>
      </w:pPr>
      <w:r>
        <w:rPr>
          <w:b/>
        </w:rPr>
        <w:t>Wu Y, et al.</w:t>
      </w:r>
      <w:r>
        <w:t xml:space="preserve"> Long-term GnRH agonist pretreatment before frozen embryo transfer improves pregnancy outcomes in women with adenomyosis. </w:t>
      </w:r>
      <w:r>
        <w:rPr>
          <w:i/>
        </w:rPr>
        <w:t>Reprod Biomed Online</w:t>
      </w:r>
      <w:r>
        <w:t xml:space="preserve"> 2022. </w:t>
      </w:r>
      <w:r>
        <w:rPr>
          <w:b/>
        </w:rPr>
        <w:t>PMID: 34895827</w:t>
      </w:r>
      <w:r>
        <w:t>. DOI: 10.1016/j.rbmo.2021.10.014.</w:t>
      </w:r>
    </w:p>
    <w:p>
      <w:pPr>
        <w:pStyle w:val="ListNumber"/>
      </w:pPr>
      <w:r>
        <w:rPr>
          <w:b/>
        </w:rPr>
        <w:t>González-Comadran M, et al.</w:t>
      </w:r>
      <w:r>
        <w:t xml:space="preserve"> Utility of GnRH Agonists before embryo transfer in women with adenomyosis: Systematic review and meta-analysis. </w:t>
      </w:r>
      <w:r>
        <w:rPr>
          <w:i/>
        </w:rPr>
        <w:t>JBRA Assist Reprod</w:t>
      </w:r>
      <w:r>
        <w:t xml:space="preserve"> 2025. </w:t>
      </w:r>
      <w:r>
        <w:rPr>
          <w:b/>
        </w:rPr>
        <w:t>PMID: 40674550</w:t>
      </w:r>
      <w:r>
        <w:t>. DOI: 10.5935/1518-0557.20250012.</w:t>
      </w:r>
    </w:p>
    <w:p>
      <w:pPr>
        <w:pStyle w:val="ListNumber"/>
      </w:pPr>
      <w:r>
        <w:rPr>
          <w:b/>
        </w:rPr>
        <w:t>Etrusco A, et al.</w:t>
      </w:r>
      <w:r>
        <w:t xml:space="preserve"> Effect of extended hormonal suppression in patients with adenomyosis undergoing embryo transfer. </w:t>
      </w:r>
      <w:r>
        <w:rPr>
          <w:i/>
        </w:rPr>
        <w:t>Front Reprod Health</w:t>
      </w:r>
      <w:r>
        <w:t xml:space="preserve"> 2026. </w:t>
      </w:r>
      <w:r>
        <w:rPr>
          <w:b/>
        </w:rPr>
        <w:t>PMID: 41727871</w:t>
      </w:r>
      <w:r>
        <w:t>. DOI: 10.3389/frph.2026.1760832.</w:t>
      </w:r>
    </w:p>
    <w:p>
      <w:pPr>
        <w:pStyle w:val="ListNumber"/>
      </w:pPr>
      <w:r>
        <w:rPr>
          <w:b/>
        </w:rPr>
        <w:t>Han Y, et al.</w:t>
      </w:r>
      <w:r>
        <w:t xml:space="preserve"> Pregnancy outcomes in freeze-all versus fresh embryo transfer cycles of women with adenomyosis and endometriosis: a systemic review and meta-analysis. </w:t>
      </w:r>
      <w:r>
        <w:rPr>
          <w:i/>
        </w:rPr>
        <w:t>Front Endocrinol</w:t>
      </w:r>
      <w:r>
        <w:t xml:space="preserve"> 2025. </w:t>
      </w:r>
      <w:r>
        <w:rPr>
          <w:b/>
        </w:rPr>
        <w:t>PMID: 40438397</w:t>
      </w:r>
      <w:r>
        <w:t>. DOI: 10.3389/fendo.2025.1507252.</w:t>
      </w:r>
    </w:p>
    <w:p>
      <w:pPr>
        <w:pStyle w:val="ListNumber"/>
      </w:pPr>
      <w:r>
        <w:rPr>
          <w:b/>
        </w:rPr>
        <w:t>Wang Y, et al.</w:t>
      </w:r>
      <w:r>
        <w:t xml:space="preserve"> Impact of adenomyosis and endometriosis on IVF/ICSI pregnancy outcome in patients undergoing gonadotropin-releasing hormone agonist treatment and frozen embryo transfer. </w:t>
      </w:r>
      <w:r>
        <w:rPr>
          <w:i/>
        </w:rPr>
        <w:t>Sci Rep</w:t>
      </w:r>
      <w:r>
        <w:t xml:space="preserve"> 2023. </w:t>
      </w:r>
      <w:r>
        <w:rPr>
          <w:b/>
        </w:rPr>
        <w:t>PMID: 37185812</w:t>
      </w:r>
      <w:r>
        <w:t>. DOI: 10.1038/s41598-023-34045-7.</w:t>
      </w:r>
    </w:p>
    <w:p>
      <w:pPr>
        <w:pStyle w:val="ListNumber"/>
      </w:pPr>
      <w:r>
        <w:rPr>
          <w:b/>
        </w:rPr>
        <w:t>Younes G, Tulandi T.</w:t>
      </w:r>
      <w:r>
        <w:t xml:space="preserve"> Effects of adenomyosis on in vitro fertilization treatment outcomes: a meta-analysis. </w:t>
      </w:r>
      <w:r>
        <w:rPr>
          <w:i/>
        </w:rPr>
        <w:t>Fertil Steril</w:t>
      </w:r>
      <w:r>
        <w:t xml:space="preserve"> 2017. </w:t>
      </w:r>
      <w:r>
        <w:rPr>
          <w:b/>
        </w:rPr>
        <w:t>PMID: 28865548</w:t>
      </w:r>
      <w:r>
        <w:t>. DOI: 10.1016/j.fertnstert.2017.06.025.</w:t>
      </w:r>
    </w:p>
    <w:p/>
    <w:p>
      <w:pPr>
        <w:ind w:left="567"/>
      </w:pPr>
      <w:r>
        <w:rPr>
          <w:b/>
          <w:i/>
        </w:rPr>
        <w:t xml:space="preserve">Ghi chú thực hành tại Việt Năm GnRHa (Leuprolide 3.75 mg/tháng, Decapeptyl 3.75 mg) có sẵn. Dienogest 2mg (Visanne) có. Mirena IUD phổ biến. MRI vùng chậu có tại các BV lớn. Hiện chưa có guideline VN riêng cho adenomyosis trong ART, nhưng dựa trên Ge 2024 + Latif 2024, có thể áp dụng: </w:t>
      </w:r>
      <w:r>
        <w:rPr>
          <w:i/>
        </w:rPr>
        <w:t>GnRHa kéo dài 3–6 tháng + freeze-all + eSET** cho adenomyosis mức độ vừa–nặng.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