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Asherman Syndrome - Dinh buong tu cung</w:t>
      </w:r>
    </w:p>
    <w:p>
      <w:pPr>
        <w:pStyle w:val="Title"/>
      </w:pPr>
      <w:r>
        <w:t>BÀI HỌC Y KHOA: HỘI CHỨNG ASHERMAN — DÍNH BUỒNG TỬ CUNG</w:t>
      </w:r>
    </w:p>
    <w:p>
      <w:r>
        <w:rPr>
          <w:b/>
        </w:rPr>
        <w:t>Ngày:</w:t>
      </w:r>
      <w:r>
        <w:t xml:space="preserve"> 2026-06-23 | </w:t>
      </w:r>
      <w:r>
        <w:rPr>
          <w:b/>
        </w:rPr>
        <w:t>Chuyên khoa:</w:t>
      </w:r>
      <w:r>
        <w:t xml:space="preserve"> Sản phụ khoa + Hỗ trợ sinh sản | </w:t>
      </w:r>
      <w:r>
        <w:rPr>
          <w:b/>
        </w:rPr>
        <w:t>Đối tượng:</w:t>
      </w:r>
      <w:r>
        <w:t xml:space="preserve"> Bác sĩ sản phụ khoa</w:t>
      </w:r>
    </w:p>
    <w:p/>
    <w:p>
      <w:pPr>
        <w:pStyle w:val="Heading1"/>
      </w:pPr>
      <w:r>
        <w:t>0. TỔNG QUAN — VÌ SAO BÀI NÀY QUAN TRỌNG?</w:t>
      </w:r>
    </w:p>
    <w:p>
      <w:r>
        <w:t xml:space="preserve">Hội chứng Asherman (Asherman syndrome — AS) — còn gọi là </w:t>
      </w:r>
      <w:r>
        <w:rPr>
          <w:b/>
        </w:rPr>
        <w:t>dính buồng tử cung</w:t>
      </w:r>
      <w:r>
        <w:t xml:space="preserve"> (intrauterine adhesions — IUAs) — là một bệnh lý ít được chẩn đoán nhưng có hậu quả nặng nề lên khả năng sinh sản và sản khoa của phụ nữ trong độ tuổi sinh đẻ. Đặc điểm cốt lõi là sự hình thành các dải xơ dính trong lòng tử cung sau một tổn thương nội mạc tử cung, dẫn đến giảm thể tích buồng tử cung, rối loạn kinh nguyệt (thiểu kinh hoặc vô kinh), vô sinh, sảy thai liên tiếp và các biến chứng sản khoa (nhau tiền đạo, nhau cài răng lược, sinh non, băng huyết sau sinh).</w:t>
      </w:r>
    </w:p>
    <w:p>
      <w:r>
        <w:t>Tầm quan trọng lâm sàng:</w:t>
      </w:r>
    </w:p>
    <w:p>
      <w:pPr>
        <w:pStyle w:val="ListBullet"/>
      </w:pPr>
      <w:r>
        <w:rPr>
          <w:b/>
        </w:rPr>
        <w:t>Tần suất không hiếm</w:t>
      </w:r>
      <w:r>
        <w:t xml:space="preserve">: Sau nạo hút thai trong giai đoạn sớm, nguy cơ hình thành IUA mới lên tới </w:t>
      </w:r>
      <w:r>
        <w:rPr>
          <w:b/>
        </w:rPr>
        <w:t>17%</w:t>
      </w:r>
      <w:r>
        <w:t xml:space="preserve"> (Munro MG et al. 2025, Hum Reprod Update, PMID 40914965) — nghĩa là cứ ~6 phụ nữ nạo sót thai thì có 1 người dính buồng tử cung. Sau cắt u xơ dưới niêm mạc qua nội soi tử cung tỷ lệ </w:t>
      </w:r>
      <w:r>
        <w:rPr>
          <w:b/>
        </w:rPr>
        <w:t>16%</w:t>
      </w:r>
      <w:r>
        <w:t xml:space="preserve">, sau vá vách ngăn tử cung là </w:t>
      </w:r>
      <w:r>
        <w:rPr>
          <w:b/>
        </w:rPr>
        <w:t>28%</w:t>
      </w:r>
      <w:r>
        <w:t>.</w:t>
      </w:r>
    </w:p>
    <w:p>
      <w:pPr>
        <w:pStyle w:val="ListBullet"/>
      </w:pPr>
      <w:r>
        <w:rPr>
          <w:b/>
        </w:rPr>
        <w:t>Tỷ lệ tái phát cao</w:t>
      </w:r>
      <w:r>
        <w:t xml:space="preserve">: Ngay cả khi đã cắt dính qua nội soi (TCRA — transcervical resection of adhesions), tỷ lệ tái phát lên tới </w:t>
      </w:r>
      <w:r>
        <w:rPr>
          <w:b/>
        </w:rPr>
        <w:t>35%</w:t>
      </w:r>
      <w:r>
        <w:t xml:space="preserve"> nếu không dùng biện pháp hỗ trợ chống dính (Munro 2025).</w:t>
      </w:r>
    </w:p>
    <w:p>
      <w:pPr>
        <w:pStyle w:val="ListBullet"/>
      </w:pPr>
      <w:r>
        <w:rPr>
          <w:b/>
        </w:rPr>
        <w:t>Hậu quả sinh sản nặng</w:t>
      </w:r>
      <w:r>
        <w:t xml:space="preserve">: Phụ nữ AS mức độ trung bình – nặng làm IVF có aOR </w:t>
      </w:r>
      <w:r>
        <w:rPr>
          <w:b/>
        </w:rPr>
        <w:t>0,174</w:t>
      </w:r>
      <w:r>
        <w:t xml:space="preserve"> cho live birth so với nhóm chứng (Fouks Y et al. 2022, J Minim Invasive Gynecol, PMID 35970266); bề dày nội mạc &lt;7 mm là yếu tố tiên lượng xấu độc lập.</w:t>
      </w:r>
    </w:p>
    <w:p>
      <w:pPr>
        <w:pStyle w:val="ListBullet"/>
      </w:pPr>
      <w:r>
        <w:rPr>
          <w:b/>
        </w:rPr>
        <w:t>Nhiều hệ phân loại gây khó khăn cho bác sĩ lâm sàng</w:t>
      </w:r>
      <w:r>
        <w:t>: AFS (1988), ESGE (1995), March (Valle 2006), Nasr (2000), phân loại Trung Quốc — paper so sánh gần đây (Cao M et al. 2021, Reprod Biol Endocrinol, PMID 33482838) cho thấy phân loại Nasr có AUC 0,748 — cao nhất trong việc tiên đoán live birth.</w:t>
      </w:r>
    </w:p>
    <w:p>
      <w:pPr>
        <w:pStyle w:val="ListBullet"/>
      </w:pPr>
      <w:r>
        <w:rPr>
          <w:b/>
        </w:rPr>
        <w:t>Tế bào gốc trung mô (MSC) nổi lên như hy vọng mới</w:t>
      </w:r>
      <w:r>
        <w:t xml:space="preserve">: Meta-analysis 2025 (Jha S et al., PMID 41694186) cho thấy MSC therapy cải thiện pregnancy rate với RR </w:t>
      </w:r>
      <w:r>
        <w:rPr>
          <w:b/>
        </w:rPr>
        <w:t>9,35</w:t>
      </w:r>
      <w:r>
        <w:t xml:space="preserve"> (95% CI: 4,2–24,9) ở nhóm AS kháng trị.</w:t>
      </w:r>
    </w:p>
    <w:p>
      <w:r>
        <w:rPr>
          <w:b/>
        </w:rPr>
        <w:t>Mục tiêu của bài:</w:t>
      </w:r>
    </w:p>
    <w:p>
      <w:pPr>
        <w:pStyle w:val="ListBullet"/>
      </w:pPr>
      <w:r>
        <w:t>Nắm được định nghĩa, các hệ phân loại (AFS, ESGE, March, Nasr, Trung Quốc) và giá trị tiên đoán của chúng.</w:t>
      </w:r>
    </w:p>
    <w:p>
      <w:pPr>
        <w:pStyle w:val="ListBullet"/>
      </w:pPr>
      <w:r>
        <w:t>Hiểu cơ chế bệnh sinh từ tổn thương nội mạc → fibrin → xơ hóa.</w:t>
      </w:r>
    </w:p>
    <w:p>
      <w:pPr>
        <w:pStyle w:val="ListBullet"/>
      </w:pPr>
      <w:r>
        <w:t>Áp dụng đúng phác đồ chẩn đoán (siêu âm 2D, sonohysterography, HSG, nội soi buồng tử cung, nội soi bụng đánh giá đáy) và biết khi nào cần NBI hysteroscopy hoặc Doppler nội mạc để tiên lượng.</w:t>
      </w:r>
    </w:p>
    <w:p>
      <w:pPr>
        <w:pStyle w:val="ListBullet"/>
      </w:pPr>
      <w:r>
        <w:t>Nắm phác đồ điều trị chuẩn (TCRA ± nong buồng, IUD, gel chống dính, estrogen liệu pháp) và khi nào cần liệu pháp tế bào gốc hoặc phẫu thuật nội soi ổ bụng.</w:t>
      </w:r>
    </w:p>
    <w:p>
      <w:pPr>
        <w:pStyle w:val="ListBullet"/>
      </w:pPr>
      <w:r>
        <w:t>Đánh giá tiên lượng sinh sản sau điều trị và biết theo dõi biến chứng sản khoa lâu dài.</w:t>
      </w:r>
    </w:p>
    <w:p/>
    <w:p>
      <w:pPr>
        <w:pStyle w:val="Heading1"/>
      </w:pPr>
      <w:r>
        <w:t>1. ĐỊNH NGHĨA VÀ PHÂN LOẠI</w:t>
      </w:r>
    </w:p>
    <w:p>
      <w:pPr>
        <w:pStyle w:val="Heading2"/>
      </w:pPr>
      <w:r>
        <w:t>1.1. Định nghĩa</w:t>
      </w:r>
    </w:p>
    <w:p>
      <w:r>
        <w:rPr>
          <w:b/>
        </w:rPr>
        <w:t>Hội chứng Asherman</w:t>
      </w:r>
      <w:r>
        <w:t xml:space="preserve"> (Asherman syndrome) là tình trạng một phần hoặc toàn bộ lòng tử cung bị xóa do các dải xơ dính (intrauterine adhesions — IUAs) hình thành sau tổn thương nội mạc tử cung, thường là sau can thiệp ngoại khoa.</w:t>
      </w:r>
    </w:p>
    <w:p>
      <w:r>
        <w:t>Thuật ngữ liên quan cần phân biệt:</w:t>
      </w:r>
    </w:p>
    <w:p>
      <w:pPr>
        <w:pStyle w:val="ListBullet"/>
      </w:pPr>
      <w:r>
        <w:rPr>
          <w:b/>
        </w:rPr>
        <w:t>Intrauterine adhesions (IUAs)</w:t>
      </w:r>
      <w:r>
        <w:t>: Bản chất mô học — các dải xơ dính trong buồng tử cung.</w:t>
      </w:r>
    </w:p>
    <w:p>
      <w:pPr>
        <w:pStyle w:val="ListBullet"/>
      </w:pPr>
      <w:r>
        <w:rPr>
          <w:b/>
        </w:rPr>
        <w:t>Asherman syndrome (AS)</w:t>
      </w:r>
      <w:r>
        <w:t xml:space="preserve">: Hội chứng lâm sàng — IUA </w:t>
      </w:r>
      <w:r>
        <w:rPr>
          <w:i/>
        </w:rPr>
        <w:t>kèm triệu chứng</w:t>
      </w:r>
      <w:r>
        <w:t xml:space="preserve"> (rối loạn kinh, vô sinh, sảy thai).</w:t>
      </w:r>
    </w:p>
    <w:p>
      <w:pPr>
        <w:pStyle w:val="ListBullet"/>
      </w:pPr>
      <w:r>
        <w:rPr>
          <w:b/>
        </w:rPr>
        <w:t>Synechiae uteri</w:t>
      </w:r>
      <w:r>
        <w:t>: Thuật ngữ Latin cổ điển.</w:t>
      </w:r>
    </w:p>
    <w:p>
      <w:pPr>
        <w:pStyle w:val="ListBullet"/>
      </w:pPr>
      <w:r>
        <w:rPr>
          <w:b/>
        </w:rPr>
        <w:t>Gynatresia</w:t>
      </w:r>
      <w:r>
        <w:t>: Thuật ngữ MeSH — hẹp/đóng bất thường đường sinh dục nữ.</w:t>
      </w:r>
    </w:p>
    <w:p>
      <w:pPr>
        <w:pStyle w:val="Heading2"/>
      </w:pPr>
      <w:r>
        <w:t>1.2. Phân loại theo mức độ nặng</w:t>
      </w:r>
    </w:p>
    <w:p>
      <w:r>
        <w:t>Phân loại lâm sàng phổ biến nhất theo AFS (American Fertility Society, 1988 — sửa đổi 1998), dựa trên 3 tiêu chí: (1) mức độ dính buồng tử cung, (2) loại dính, (3) tình trạng kinh nguyệt.</w:t>
      </w:r>
    </w:p>
    <w:p>
      <w:r>
        <w:rPr>
          <w:b/>
        </w:rPr>
        <w:t>Bảng 1. Hệ phân loại AFS (1988, sửa đổi 1998)</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Mức độ dính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Loại dính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Kinh nguyệt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&lt;25% buồng tử cung</w:t>
            </w:r>
          </w:p>
        </w:tc>
        <w:tc>
          <w:tcPr>
            <w:tcW w:type="dxa" w:w="2160"/>
            <w:tcBorders>
              <w:top w:val="single" w:sz="4" w:color="000000"/>
              <w:left w:val="single" w:sz="4" w:color="000000"/>
              <w:bottom w:val="single" w:sz="4" w:color="000000"/>
              <w:right w:val="single" w:sz="4" w:color="000000"/>
            </w:tcBorders>
          </w:tcPr>
          <w:p>
            <w:r/>
            <w:r>
              <w:t>Mỏng (filmy)</w:t>
            </w:r>
          </w:p>
        </w:tc>
        <w:tc>
          <w:tcPr>
            <w:tcW w:type="dxa" w:w="2160"/>
            <w:tcBorders>
              <w:top w:val="single" w:sz="4" w:color="000000"/>
              <w:left w:val="single" w:sz="4" w:color="000000"/>
              <w:bottom w:val="single" w:sz="4" w:color="000000"/>
              <w:right w:val="single" w:sz="4" w:color="000000"/>
            </w:tcBorders>
          </w:tcPr>
          <w:p>
            <w:r/>
            <w:r>
              <w:t>Bình thường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25–75% buồng tử cung</w:t>
            </w:r>
          </w:p>
        </w:tc>
        <w:tc>
          <w:tcPr>
            <w:tcW w:type="dxa" w:w="2160"/>
            <w:tcBorders>
              <w:top w:val="single" w:sz="4" w:color="000000"/>
              <w:left w:val="single" w:sz="4" w:color="000000"/>
              <w:bottom w:val="single" w:sz="4" w:color="000000"/>
              <w:right w:val="single" w:sz="4" w:color="000000"/>
            </w:tcBorders>
          </w:tcPr>
          <w:p>
            <w:r/>
            <w:r>
              <w:t>Vừa (filmy + dày)</w:t>
            </w:r>
          </w:p>
        </w:tc>
        <w:tc>
          <w:tcPr>
            <w:tcW w:type="dxa" w:w="2160"/>
            <w:tcBorders>
              <w:top w:val="single" w:sz="4" w:color="000000"/>
              <w:left w:val="single" w:sz="4" w:color="000000"/>
              <w:bottom w:val="single" w:sz="4" w:color="000000"/>
              <w:right w:val="single" w:sz="4" w:color="000000"/>
            </w:tcBorders>
          </w:tcPr>
          <w:p>
            <w:r/>
            <w:r>
              <w:t>Giảm nhẹ (hypomenorrhea)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&gt;75% buồng tử cung</w:t>
            </w:r>
          </w:p>
        </w:tc>
        <w:tc>
          <w:tcPr>
            <w:tcW w:type="dxa" w:w="2160"/>
            <w:tcBorders>
              <w:top w:val="single" w:sz="4" w:color="000000"/>
              <w:left w:val="single" w:sz="4" w:color="000000"/>
              <w:bottom w:val="single" w:sz="4" w:color="000000"/>
              <w:right w:val="single" w:sz="4" w:color="000000"/>
            </w:tcBorders>
          </w:tcPr>
          <w:p>
            <w:r/>
            <w:r>
              <w:t>Dày / dải xơ</w:t>
            </w:r>
          </w:p>
        </w:tc>
        <w:tc>
          <w:tcPr>
            <w:tcW w:type="dxa" w:w="2160"/>
            <w:tcBorders>
              <w:top w:val="single" w:sz="4" w:color="000000"/>
              <w:left w:val="single" w:sz="4" w:color="000000"/>
              <w:bottom w:val="single" w:sz="4" w:color="000000"/>
              <w:right w:val="single" w:sz="4" w:color="000000"/>
            </w:tcBorders>
          </w:tcPr>
          <w:p>
            <w:r/>
            <w:r>
              <w:t>Vô kinh (amenorrhea)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Phân loại cuối</w:t>
            </w:r>
          </w:p>
        </w:tc>
        <w:tc>
          <w:tcPr>
            <w:tcW w:type="dxa" w:w="2160"/>
            <w:tcBorders>
              <w:top w:val="single" w:sz="4" w:color="000000"/>
              <w:left w:val="single" w:sz="4" w:color="000000"/>
              <w:bottom w:val="single" w:sz="4" w:color="000000"/>
              <w:right w:val="single" w:sz="4" w:color="000000"/>
            </w:tcBorders>
          </w:tcPr>
          <w:p>
            <w:r/>
          </w:p>
        </w:tc>
        <w:tc>
          <w:tcPr>
            <w:tcW w:type="dxa" w:w="2160"/>
            <w:tcBorders>
              <w:top w:val="single" w:sz="4" w:color="000000"/>
              <w:left w:val="single" w:sz="4" w:color="000000"/>
              <w:bottom w:val="single" w:sz="4" w:color="000000"/>
              <w:right w:val="single" w:sz="4" w:color="000000"/>
            </w:tcBorders>
          </w:tcPr>
          <w:p>
            <w:r/>
          </w:p>
        </w:tc>
        <w:tc>
          <w:tcPr>
            <w:tcW w:type="dxa" w:w="2160"/>
            <w:tcBorders>
              <w:top w:val="single" w:sz="4" w:color="000000"/>
              <w:left w:val="single" w:sz="4" w:color="000000"/>
              <w:bottom w:val="single" w:sz="4" w:color="000000"/>
              <w:right w:val="single" w:sz="4" w:color="000000"/>
            </w:tcBorders>
          </w:tcPr>
          <w:p>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Giai đoạn I (nhẹ)</w:t>
            </w:r>
          </w:p>
        </w:tc>
        <w:tc>
          <w:tcPr>
            <w:tcW w:type="dxa" w:w="2160"/>
            <w:tcBorders>
              <w:top w:val="single" w:sz="4" w:color="000000"/>
              <w:left w:val="single" w:sz="4" w:color="000000"/>
              <w:bottom w:val="single" w:sz="4" w:color="000000"/>
              <w:right w:val="single" w:sz="4" w:color="000000"/>
            </w:tcBorders>
          </w:tcPr>
          <w:p>
            <w:r/>
            <w:r>
              <w:t>1–4 điểm</w:t>
            </w:r>
          </w:p>
        </w:tc>
        <w:tc>
          <w:tcPr>
            <w:tcW w:type="dxa" w:w="2160"/>
            <w:tcBorders>
              <w:top w:val="single" w:sz="4" w:color="000000"/>
              <w:left w:val="single" w:sz="4" w:color="000000"/>
              <w:bottom w:val="single" w:sz="4" w:color="000000"/>
              <w:right w:val="single" w:sz="4" w:color="000000"/>
            </w:tcBorders>
          </w:tcPr>
          <w:p>
            <w:r/>
          </w:p>
        </w:tc>
        <w:tc>
          <w:tcPr>
            <w:tcW w:type="dxa" w:w="2160"/>
            <w:tcBorders>
              <w:top w:val="single" w:sz="4" w:color="000000"/>
              <w:left w:val="single" w:sz="4" w:color="000000"/>
              <w:bottom w:val="single" w:sz="4" w:color="000000"/>
              <w:right w:val="single" w:sz="4" w:color="000000"/>
            </w:tcBorders>
          </w:tcPr>
          <w:p>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Giai đoạn II (trung bình)</w:t>
            </w:r>
          </w:p>
        </w:tc>
        <w:tc>
          <w:tcPr>
            <w:tcW w:type="dxa" w:w="2160"/>
            <w:tcBorders>
              <w:top w:val="single" w:sz="4" w:color="000000"/>
              <w:left w:val="single" w:sz="4" w:color="000000"/>
              <w:bottom w:val="single" w:sz="4" w:color="000000"/>
              <w:right w:val="single" w:sz="4" w:color="000000"/>
            </w:tcBorders>
          </w:tcPr>
          <w:p>
            <w:r/>
            <w:r>
              <w:t>5–8 điểm</w:t>
            </w:r>
          </w:p>
        </w:tc>
        <w:tc>
          <w:tcPr>
            <w:tcW w:type="dxa" w:w="2160"/>
            <w:tcBorders>
              <w:top w:val="single" w:sz="4" w:color="000000"/>
              <w:left w:val="single" w:sz="4" w:color="000000"/>
              <w:bottom w:val="single" w:sz="4" w:color="000000"/>
              <w:right w:val="single" w:sz="4" w:color="000000"/>
            </w:tcBorders>
          </w:tcPr>
          <w:p>
            <w:r/>
          </w:p>
        </w:tc>
        <w:tc>
          <w:tcPr>
            <w:tcW w:type="dxa" w:w="2160"/>
            <w:tcBorders>
              <w:top w:val="single" w:sz="4" w:color="000000"/>
              <w:left w:val="single" w:sz="4" w:color="000000"/>
              <w:bottom w:val="single" w:sz="4" w:color="000000"/>
              <w:right w:val="single" w:sz="4" w:color="000000"/>
            </w:tcBorders>
          </w:tcPr>
          <w:p>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Giai đoạn III (nặng)</w:t>
            </w:r>
          </w:p>
        </w:tc>
        <w:tc>
          <w:tcPr>
            <w:tcW w:type="dxa" w:w="2160"/>
            <w:tcBorders>
              <w:top w:val="single" w:sz="4" w:color="000000"/>
              <w:left w:val="single" w:sz="4" w:color="000000"/>
              <w:bottom w:val="single" w:sz="4" w:color="000000"/>
              <w:right w:val="single" w:sz="4" w:color="000000"/>
            </w:tcBorders>
          </w:tcPr>
          <w:p>
            <w:r/>
            <w:r>
              <w:t>9–12 điểm</w:t>
            </w:r>
          </w:p>
        </w:tc>
        <w:tc>
          <w:tcPr>
            <w:tcW w:type="dxa" w:w="2160"/>
            <w:tcBorders>
              <w:top w:val="single" w:sz="4" w:color="000000"/>
              <w:left w:val="single" w:sz="4" w:color="000000"/>
              <w:bottom w:val="single" w:sz="4" w:color="000000"/>
              <w:right w:val="single" w:sz="4" w:color="000000"/>
            </w:tcBorders>
          </w:tcPr>
          <w:p>
            <w:r/>
          </w:p>
        </w:tc>
        <w:tc>
          <w:tcPr>
            <w:tcW w:type="dxa" w:w="2160"/>
            <w:tcBorders>
              <w:top w:val="single" w:sz="4" w:color="000000"/>
              <w:left w:val="single" w:sz="4" w:color="000000"/>
              <w:bottom w:val="single" w:sz="4" w:color="000000"/>
              <w:right w:val="single" w:sz="4" w:color="000000"/>
            </w:tcBorders>
          </w:tcPr>
          <w:p>
            <w:r/>
          </w:p>
        </w:tc>
      </w:tr>
    </w:tbl>
    <w:p>
      <w:r>
        <w:t xml:space="preserve">Hệ </w:t>
      </w:r>
      <w:r>
        <w:rPr>
          <w:b/>
        </w:rPr>
        <w:t>ESGE (European Society of Gynaecological Endoscopy, 1995)</w:t>
      </w:r>
      <w:r>
        <w:t xml:space="preserve"> phân loại 5 mức độ (I–V) dựa trên vị trí và tình trạng lỗ thông vòi trứng, đơn giản hơn và hay dùng trong phẫu thuật nội soi tại châu Âu.</w:t>
      </w:r>
    </w:p>
    <w:p>
      <w:r>
        <w:t xml:space="preserve">Hệ </w:t>
      </w:r>
      <w:r>
        <w:rPr>
          <w:b/>
        </w:rPr>
        <w:t>March (Valle 2006)</w:t>
      </w:r>
      <w:r>
        <w:t xml:space="preserve"> phân loại dựa trên vị trí: loa vòi, trung tâm, cổ tử cung.</w:t>
      </w:r>
    </w:p>
    <w:p>
      <w:r>
        <w:t xml:space="preserve">Hệ </w:t>
      </w:r>
      <w:r>
        <w:rPr>
          <w:b/>
        </w:rPr>
        <w:t>Nasr (2000)</w:t>
      </w:r>
      <w:r>
        <w:t xml:space="preserve"> gồm 3 mức độ (nhẹ, trung bình, nặng) dựa trên hysterosalpingogram + nội soi, có giá trị tiên đoán live birth tốt nhất trong 5 hệ (Cao M 2021).</w:t>
      </w:r>
    </w:p>
    <w:p>
      <w:r>
        <w:t xml:space="preserve">Hệ </w:t>
      </w:r>
      <w:r>
        <w:rPr>
          <w:b/>
        </w:rPr>
        <w:t>Trung Quốc (2015)</w:t>
      </w:r>
      <w:r>
        <w:t xml:space="preserve"> phân loại 5 mức theo diện dính và bề dày nội mạc còn lại.</w:t>
      </w:r>
    </w:p>
    <w:p>
      <w:pPr>
        <w:pStyle w:val="Heading2"/>
      </w:pPr>
      <w:r>
        <w:t>1.3. So sánh 5 hệ phân loại — Giá trị tiên đoán live birth</w:t>
      </w:r>
    </w:p>
    <w:p>
      <w:r>
        <w:t>Theo nghiên cứu hồi cứu trên 128 phụ nữ AS muốn có thai tự nhiên sau TCRA (Cao M et al. 2021, PMID 33482838):</w:t>
      </w:r>
    </w:p>
    <w:p>
      <w:r>
        <w:rPr>
          <w:b/>
        </w:rPr>
        <w:t>Bảng 2. So sánh 5 hệ phân loại IUA (Cao M 2021, n=128)</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Hệ phân loại</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Hệ số tương quan (r)</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AUC</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OR (logistic đa biến)</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Sensitivity</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NPV</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AFS (1988)</w:t>
            </w:r>
          </w:p>
        </w:tc>
        <w:tc>
          <w:tcPr>
            <w:tcW w:type="dxa" w:w="1440"/>
            <w:tcBorders>
              <w:top w:val="single" w:sz="4" w:color="000000"/>
              <w:left w:val="single" w:sz="4" w:color="000000"/>
              <w:bottom w:val="single" w:sz="4" w:color="000000"/>
              <w:right w:val="single" w:sz="4" w:color="000000"/>
            </w:tcBorders>
          </w:tcPr>
          <w:p>
            <w:r/>
            <w:r>
              <w:t>0,313</w:t>
            </w:r>
          </w:p>
        </w:tc>
        <w:tc>
          <w:tcPr>
            <w:tcW w:type="dxa" w:w="1440"/>
            <w:tcBorders>
              <w:top w:val="single" w:sz="4" w:color="000000"/>
              <w:left w:val="single" w:sz="4" w:color="000000"/>
              <w:bottom w:val="single" w:sz="4" w:color="000000"/>
              <w:right w:val="single" w:sz="4" w:color="000000"/>
            </w:tcBorders>
          </w:tcPr>
          <w:p>
            <w:r/>
            <w:r>
              <w:t>0,668</w:t>
            </w:r>
          </w:p>
        </w:tc>
        <w:tc>
          <w:tcPr>
            <w:tcW w:type="dxa" w:w="1440"/>
            <w:tcBorders>
              <w:top w:val="single" w:sz="4" w:color="000000"/>
              <w:left w:val="single" w:sz="4" w:color="000000"/>
              <w:bottom w:val="single" w:sz="4" w:color="000000"/>
              <w:right w:val="single" w:sz="4" w:color="000000"/>
            </w:tcBorders>
          </w:tcPr>
          <w:p>
            <w:r/>
            <w:r>
              <w:t>4,2</w:t>
            </w:r>
          </w:p>
        </w:tc>
        <w:tc>
          <w:tcPr>
            <w:tcW w:type="dxa" w:w="1440"/>
            <w:tcBorders>
              <w:top w:val="single" w:sz="4" w:color="000000"/>
              <w:left w:val="single" w:sz="4" w:color="000000"/>
              <w:bottom w:val="single" w:sz="4" w:color="000000"/>
              <w:right w:val="single" w:sz="4" w:color="000000"/>
            </w:tcBorders>
          </w:tcPr>
          <w:p>
            <w:r/>
            <w:r>
              <w:t>70,1%</w:t>
            </w:r>
          </w:p>
        </w:tc>
        <w:tc>
          <w:tcPr>
            <w:tcW w:type="dxa" w:w="1440"/>
            <w:tcBorders>
              <w:top w:val="single" w:sz="4" w:color="000000"/>
              <w:left w:val="single" w:sz="4" w:color="000000"/>
              <w:bottom w:val="single" w:sz="4" w:color="000000"/>
              <w:right w:val="single" w:sz="4" w:color="000000"/>
            </w:tcBorders>
          </w:tcPr>
          <w:p>
            <w:r/>
            <w:r>
              <w:t>92,3%</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ESGE (1995)</w:t>
            </w:r>
          </w:p>
        </w:tc>
        <w:tc>
          <w:tcPr>
            <w:tcW w:type="dxa" w:w="1440"/>
            <w:tcBorders>
              <w:top w:val="single" w:sz="4" w:color="000000"/>
              <w:left w:val="single" w:sz="4" w:color="000000"/>
              <w:bottom w:val="single" w:sz="4" w:color="000000"/>
              <w:right w:val="single" w:sz="4" w:color="000000"/>
            </w:tcBorders>
          </w:tcPr>
          <w:p>
            <w:r/>
            <w:r>
              <w:t>0,313</w:t>
            </w:r>
          </w:p>
        </w:tc>
        <w:tc>
          <w:tcPr>
            <w:tcW w:type="dxa" w:w="1440"/>
            <w:tcBorders>
              <w:top w:val="single" w:sz="4" w:color="000000"/>
              <w:left w:val="single" w:sz="4" w:color="000000"/>
              <w:bottom w:val="single" w:sz="4" w:color="000000"/>
              <w:right w:val="single" w:sz="4" w:color="000000"/>
            </w:tcBorders>
          </w:tcPr>
          <w:p>
            <w:r/>
            <w:r>
              <w:t>0,672</w:t>
            </w:r>
          </w:p>
        </w:tc>
        <w:tc>
          <w:tcPr>
            <w:tcW w:type="dxa" w:w="1440"/>
            <w:tcBorders>
              <w:top w:val="single" w:sz="4" w:color="000000"/>
              <w:left w:val="single" w:sz="4" w:color="000000"/>
              <w:bottom w:val="single" w:sz="4" w:color="000000"/>
              <w:right w:val="single" w:sz="4" w:color="000000"/>
            </w:tcBorders>
          </w:tcPr>
          <w:p>
            <w:r/>
            <w:r>
              <w:t>4,5</w:t>
            </w:r>
          </w:p>
        </w:tc>
        <w:tc>
          <w:tcPr>
            <w:tcW w:type="dxa" w:w="1440"/>
            <w:tcBorders>
              <w:top w:val="single" w:sz="4" w:color="000000"/>
              <w:left w:val="single" w:sz="4" w:color="000000"/>
              <w:bottom w:val="single" w:sz="4" w:color="000000"/>
              <w:right w:val="single" w:sz="4" w:color="000000"/>
            </w:tcBorders>
          </w:tcPr>
          <w:p>
            <w:r/>
            <w:r>
              <w:t>72,7%</w:t>
            </w:r>
          </w:p>
        </w:tc>
        <w:tc>
          <w:tcPr>
            <w:tcW w:type="dxa" w:w="1440"/>
            <w:tcBorders>
              <w:top w:val="single" w:sz="4" w:color="000000"/>
              <w:left w:val="single" w:sz="4" w:color="000000"/>
              <w:bottom w:val="single" w:sz="4" w:color="000000"/>
              <w:right w:val="single" w:sz="4" w:color="000000"/>
            </w:tcBorders>
          </w:tcPr>
          <w:p>
            <w:r/>
            <w:r>
              <w:t>93,1%</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March (2006)</w:t>
            </w:r>
          </w:p>
        </w:tc>
        <w:tc>
          <w:tcPr>
            <w:tcW w:type="dxa" w:w="1440"/>
            <w:tcBorders>
              <w:top w:val="single" w:sz="4" w:color="000000"/>
              <w:left w:val="single" w:sz="4" w:color="000000"/>
              <w:bottom w:val="single" w:sz="4" w:color="000000"/>
              <w:right w:val="single" w:sz="4" w:color="000000"/>
            </w:tcBorders>
          </w:tcPr>
          <w:p>
            <w:r/>
            <w:r>
              <w:t>0,288</w:t>
            </w:r>
          </w:p>
        </w:tc>
        <w:tc>
          <w:tcPr>
            <w:tcW w:type="dxa" w:w="1440"/>
            <w:tcBorders>
              <w:top w:val="single" w:sz="4" w:color="000000"/>
              <w:left w:val="single" w:sz="4" w:color="000000"/>
              <w:bottom w:val="single" w:sz="4" w:color="000000"/>
              <w:right w:val="single" w:sz="4" w:color="000000"/>
            </w:tcBorders>
          </w:tcPr>
          <w:p>
            <w:r/>
            <w:r>
              <w:t>0,640</w:t>
            </w:r>
          </w:p>
        </w:tc>
        <w:tc>
          <w:tcPr>
            <w:tcW w:type="dxa" w:w="1440"/>
            <w:tcBorders>
              <w:top w:val="single" w:sz="4" w:color="000000"/>
              <w:left w:val="single" w:sz="4" w:color="000000"/>
              <w:bottom w:val="single" w:sz="4" w:color="000000"/>
              <w:right w:val="single" w:sz="4" w:color="000000"/>
            </w:tcBorders>
          </w:tcPr>
          <w:p>
            <w:r/>
            <w:r>
              <w:t>3,8</w:t>
            </w:r>
          </w:p>
        </w:tc>
        <w:tc>
          <w:tcPr>
            <w:tcW w:type="dxa" w:w="1440"/>
            <w:tcBorders>
              <w:top w:val="single" w:sz="4" w:color="000000"/>
              <w:left w:val="single" w:sz="4" w:color="000000"/>
              <w:bottom w:val="single" w:sz="4" w:color="000000"/>
              <w:right w:val="single" w:sz="4" w:color="000000"/>
            </w:tcBorders>
          </w:tcPr>
          <w:p>
            <w:r/>
            <w:r>
              <w:t>68,8%</w:t>
            </w:r>
          </w:p>
        </w:tc>
        <w:tc>
          <w:tcPr>
            <w:tcW w:type="dxa" w:w="1440"/>
            <w:tcBorders>
              <w:top w:val="single" w:sz="4" w:color="000000"/>
              <w:left w:val="single" w:sz="4" w:color="000000"/>
              <w:bottom w:val="single" w:sz="4" w:color="000000"/>
              <w:right w:val="single" w:sz="4" w:color="000000"/>
            </w:tcBorders>
          </w:tcPr>
          <w:p>
            <w:r/>
            <w:r>
              <w:t>91,7%</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Nasr (2000)</w:t>
            </w:r>
          </w:p>
        </w:tc>
        <w:tc>
          <w:tcPr>
            <w:tcW w:type="dxa" w:w="1440"/>
            <w:tcBorders>
              <w:top w:val="single" w:sz="4" w:color="000000"/>
              <w:left w:val="single" w:sz="4" w:color="000000"/>
              <w:bottom w:val="single" w:sz="4" w:color="000000"/>
              <w:right w:val="single" w:sz="4" w:color="000000"/>
            </w:tcBorders>
          </w:tcPr>
          <w:p>
            <w:r/>
            <w:r>
              <w:rPr>
                <w:b/>
              </w:rPr>
              <w:t>0,380</w:t>
            </w:r>
          </w:p>
        </w:tc>
        <w:tc>
          <w:tcPr>
            <w:tcW w:type="dxa" w:w="1440"/>
            <w:tcBorders>
              <w:top w:val="single" w:sz="4" w:color="000000"/>
              <w:left w:val="single" w:sz="4" w:color="000000"/>
              <w:bottom w:val="single" w:sz="4" w:color="000000"/>
              <w:right w:val="single" w:sz="4" w:color="000000"/>
            </w:tcBorders>
          </w:tcPr>
          <w:p>
            <w:r/>
            <w:r>
              <w:rPr>
                <w:b/>
              </w:rPr>
              <w:t>0,748</w:t>
            </w:r>
          </w:p>
        </w:tc>
        <w:tc>
          <w:tcPr>
            <w:tcW w:type="dxa" w:w="1440"/>
            <w:tcBorders>
              <w:top w:val="single" w:sz="4" w:color="000000"/>
              <w:left w:val="single" w:sz="4" w:color="000000"/>
              <w:bottom w:val="single" w:sz="4" w:color="000000"/>
              <w:right w:val="single" w:sz="4" w:color="000000"/>
            </w:tcBorders>
          </w:tcPr>
          <w:p>
            <w:r/>
            <w:r>
              <w:rPr>
                <w:b/>
              </w:rPr>
              <w:t>6,523 (95% CI 2,612–18,263)</w:t>
            </w:r>
          </w:p>
        </w:tc>
        <w:tc>
          <w:tcPr>
            <w:tcW w:type="dxa" w:w="1440"/>
            <w:tcBorders>
              <w:top w:val="single" w:sz="4" w:color="000000"/>
              <w:left w:val="single" w:sz="4" w:color="000000"/>
              <w:bottom w:val="single" w:sz="4" w:color="000000"/>
              <w:right w:val="single" w:sz="4" w:color="000000"/>
            </w:tcBorders>
          </w:tcPr>
          <w:p>
            <w:r/>
            <w:r>
              <w:rPr>
                <w:b/>
              </w:rPr>
              <w:t>81,8%</w:t>
            </w:r>
          </w:p>
        </w:tc>
        <w:tc>
          <w:tcPr>
            <w:tcW w:type="dxa" w:w="1440"/>
            <w:tcBorders>
              <w:top w:val="single" w:sz="4" w:color="000000"/>
              <w:left w:val="single" w:sz="4" w:color="000000"/>
              <w:bottom w:val="single" w:sz="4" w:color="000000"/>
              <w:right w:val="single" w:sz="4" w:color="000000"/>
            </w:tcBorders>
          </w:tcPr>
          <w:p>
            <w:r/>
            <w:r>
              <w:rPr>
                <w:b/>
              </w:rPr>
              <w:t>96,7%</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Trung Quốc (2015)</w:t>
            </w:r>
          </w:p>
        </w:tc>
        <w:tc>
          <w:tcPr>
            <w:tcW w:type="dxa" w:w="1440"/>
            <w:tcBorders>
              <w:top w:val="single" w:sz="4" w:color="000000"/>
              <w:left w:val="single" w:sz="4" w:color="000000"/>
              <w:bottom w:val="single" w:sz="4" w:color="000000"/>
              <w:right w:val="single" w:sz="4" w:color="000000"/>
            </w:tcBorders>
          </w:tcPr>
          <w:p>
            <w:r/>
            <w:r>
              <w:t>0,336</w:t>
            </w:r>
          </w:p>
        </w:tc>
        <w:tc>
          <w:tcPr>
            <w:tcW w:type="dxa" w:w="1440"/>
            <w:tcBorders>
              <w:top w:val="single" w:sz="4" w:color="000000"/>
              <w:left w:val="single" w:sz="4" w:color="000000"/>
              <w:bottom w:val="single" w:sz="4" w:color="000000"/>
              <w:right w:val="single" w:sz="4" w:color="000000"/>
            </w:tcBorders>
          </w:tcPr>
          <w:p>
            <w:r/>
            <w:r>
              <w:t>0,690</w:t>
            </w:r>
          </w:p>
        </w:tc>
        <w:tc>
          <w:tcPr>
            <w:tcW w:type="dxa" w:w="1440"/>
            <w:tcBorders>
              <w:top w:val="single" w:sz="4" w:color="000000"/>
              <w:left w:val="single" w:sz="4" w:color="000000"/>
              <w:bottom w:val="single" w:sz="4" w:color="000000"/>
              <w:right w:val="single" w:sz="4" w:color="000000"/>
            </w:tcBorders>
          </w:tcPr>
          <w:p>
            <w:r/>
            <w:r>
              <w:t>4,8</w:t>
            </w:r>
          </w:p>
        </w:tc>
        <w:tc>
          <w:tcPr>
            <w:tcW w:type="dxa" w:w="1440"/>
            <w:tcBorders>
              <w:top w:val="single" w:sz="4" w:color="000000"/>
              <w:left w:val="single" w:sz="4" w:color="000000"/>
              <w:bottom w:val="single" w:sz="4" w:color="000000"/>
              <w:right w:val="single" w:sz="4" w:color="000000"/>
            </w:tcBorders>
          </w:tcPr>
          <w:p>
            <w:r/>
            <w:r>
              <w:t>74,0%</w:t>
            </w:r>
          </w:p>
        </w:tc>
        <w:tc>
          <w:tcPr>
            <w:tcW w:type="dxa" w:w="1440"/>
            <w:tcBorders>
              <w:top w:val="single" w:sz="4" w:color="000000"/>
              <w:left w:val="single" w:sz="4" w:color="000000"/>
              <w:bottom w:val="single" w:sz="4" w:color="000000"/>
              <w:right w:val="single" w:sz="4" w:color="000000"/>
            </w:tcBorders>
          </w:tcPr>
          <w:p>
            <w:r/>
            <w:r>
              <w:t>93,5%</w:t>
            </w:r>
          </w:p>
        </w:tc>
      </w:tr>
    </w:tbl>
    <w:p>
      <w:r>
        <w:rPr>
          <w:b/>
        </w:rPr>
        <w:t>Nhận xét:</w:t>
      </w:r>
      <w:r>
        <w:t xml:space="preserve"> Cả 5 hệ đều có khả năng phân biệt trung bình (AUC 0,64–0,75). Hệ </w:t>
      </w:r>
      <w:r>
        <w:rPr>
          <w:b/>
        </w:rPr>
        <w:t>Nasr</w:t>
      </w:r>
      <w:r>
        <w:t xml:space="preserve"> cho giá trị tiên đoán live birth tốt nhất (AUC 0,748; sensitivity 81,8%; NPV 96,7%). Khi cần </w:t>
      </w:r>
      <w:r>
        <w:rPr>
          <w:i/>
        </w:rPr>
        <w:t>một</w:t>
      </w:r>
      <w:r>
        <w:t xml:space="preserve"> hệ duy nhất để tiên lượng sinh sản, Nasr được khuyến cáo.</w:t>
      </w:r>
    </w:p>
    <w:p>
      <w:pPr>
        <w:pStyle w:val="Heading2"/>
      </w:pPr>
      <w:r>
        <w:t>1.4. Nguyên nhân — Yếu tố khởi phát</w:t>
      </w:r>
    </w:p>
    <w:p>
      <w:r>
        <w:rPr>
          <w:b/>
        </w:rPr>
        <w:t>Bảng 3. Nguyên nhân thường gặp của Asherman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Tỷ lệ ước tính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Nạo hút buồng tử cung (D&amp;C) sau sảy thai / thai lưu</w:t>
            </w:r>
          </w:p>
        </w:tc>
        <w:tc>
          <w:tcPr>
            <w:tcW w:type="dxa" w:w="2880"/>
            <w:tcBorders>
              <w:top w:val="single" w:sz="4" w:color="000000"/>
              <w:left w:val="single" w:sz="4" w:color="000000"/>
              <w:bottom w:val="single" w:sz="4" w:color="000000"/>
              <w:right w:val="single" w:sz="4" w:color="000000"/>
            </w:tcBorders>
          </w:tcPr>
          <w:p>
            <w:r/>
            <w:r>
              <w:t>17% mới mắc (Munro 2025)</w:t>
            </w:r>
          </w:p>
        </w:tc>
        <w:tc>
          <w:tcPr>
            <w:tcW w:type="dxa" w:w="2880"/>
            <w:tcBorders>
              <w:top w:val="single" w:sz="4" w:color="000000"/>
              <w:left w:val="single" w:sz="4" w:color="000000"/>
              <w:bottom w:val="single" w:sz="4" w:color="000000"/>
              <w:right w:val="single" w:sz="4" w:color="000000"/>
            </w:tcBorders>
          </w:tcPr>
          <w:p>
            <w:r/>
            <w:r>
              <w:t>Tổn thương lớp đáy nội mạc, đặc biệt khi thai &gt;12 tuần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Nạo hút sau đẻ (postpartum curettage)</w:t>
            </w:r>
          </w:p>
        </w:tc>
        <w:tc>
          <w:tcPr>
            <w:tcW w:type="dxa" w:w="2880"/>
            <w:tcBorders>
              <w:top w:val="single" w:sz="4" w:color="000000"/>
              <w:left w:val="single" w:sz="4" w:color="000000"/>
              <w:bottom w:val="single" w:sz="4" w:color="000000"/>
              <w:right w:val="single" w:sz="4" w:color="000000"/>
            </w:tcBorders>
          </w:tcPr>
          <w:p>
            <w:r/>
            <w:r>
              <w:t>9–30%</w:t>
            </w:r>
          </w:p>
        </w:tc>
        <w:tc>
          <w:tcPr>
            <w:tcW w:type="dxa" w:w="2880"/>
            <w:tcBorders>
              <w:top w:val="single" w:sz="4" w:color="000000"/>
              <w:left w:val="single" w:sz="4" w:color="000000"/>
              <w:bottom w:val="single" w:sz="4" w:color="000000"/>
              <w:right w:val="single" w:sz="4" w:color="000000"/>
            </w:tcBorders>
          </w:tcPr>
          <w:p>
            <w:r/>
            <w:r>
              <w:t>Nội mạc mỏng sau rau, dễ bào mòn lớp đáy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Phẫu thuật nội soi buồng tử cung (myomectomy, polypectomy, metroplasty)</w:t>
            </w:r>
          </w:p>
        </w:tc>
        <w:tc>
          <w:tcPr>
            <w:tcW w:type="dxa" w:w="2880"/>
            <w:tcBorders>
              <w:top w:val="single" w:sz="4" w:color="000000"/>
              <w:left w:val="single" w:sz="4" w:color="000000"/>
              <w:bottom w:val="single" w:sz="4" w:color="000000"/>
              <w:right w:val="single" w:sz="4" w:color="000000"/>
            </w:tcBorders>
          </w:tcPr>
          <w:p>
            <w:r/>
            <w:r>
              <w:t>16–28%</w:t>
            </w:r>
          </w:p>
        </w:tc>
        <w:tc>
          <w:tcPr>
            <w:tcW w:type="dxa" w:w="2880"/>
            <w:tcBorders>
              <w:top w:val="single" w:sz="4" w:color="000000"/>
              <w:left w:val="single" w:sz="4" w:color="000000"/>
              <w:bottom w:val="single" w:sz="4" w:color="000000"/>
              <w:right w:val="single" w:sz="4" w:color="000000"/>
            </w:tcBorders>
          </w:tcPr>
          <w:p>
            <w:r/>
            <w:r>
              <w:t>Tổn thương trực tiếp cơ-nội mạc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nội mạc tử cung (endometritis)</w:t>
            </w:r>
          </w:p>
        </w:tc>
        <w:tc>
          <w:tcPr>
            <w:tcW w:type="dxa" w:w="2880"/>
            <w:tcBorders>
              <w:top w:val="single" w:sz="4" w:color="000000"/>
              <w:left w:val="single" w:sz="4" w:color="000000"/>
              <w:bottom w:val="single" w:sz="4" w:color="000000"/>
              <w:right w:val="single" w:sz="4" w:color="000000"/>
            </w:tcBorders>
          </w:tcPr>
          <w:p>
            <w:r/>
            <w:r>
              <w:t>5–10%</w:t>
            </w:r>
          </w:p>
        </w:tc>
        <w:tc>
          <w:tcPr>
            <w:tcW w:type="dxa" w:w="2880"/>
            <w:tcBorders>
              <w:top w:val="single" w:sz="4" w:color="000000"/>
              <w:left w:val="single" w:sz="4" w:color="000000"/>
              <w:bottom w:val="single" w:sz="4" w:color="000000"/>
              <w:right w:val="single" w:sz="4" w:color="000000"/>
            </w:tcBorders>
          </w:tcPr>
          <w:p>
            <w:r/>
            <w:r>
              <w:t>Phản ứng viêm-phù-sợi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Bức xạ vùng chậu / TBKMT (hiếm)</w:t>
            </w:r>
          </w:p>
        </w:tc>
        <w:tc>
          <w:tcPr>
            <w:tcW w:type="dxa" w:w="2880"/>
            <w:tcBorders>
              <w:top w:val="single" w:sz="4" w:color="000000"/>
              <w:left w:val="single" w:sz="4" w:color="000000"/>
              <w:bottom w:val="single" w:sz="4" w:color="000000"/>
              <w:right w:val="single" w:sz="4" w:color="000000"/>
            </w:tcBorders>
          </w:tcPr>
          <w:p>
            <w:r/>
            <w:r>
              <w:t>&lt;2%</w:t>
            </w:r>
          </w:p>
        </w:tc>
        <w:tc>
          <w:tcPr>
            <w:tcW w:type="dxa" w:w="2880"/>
            <w:tcBorders>
              <w:top w:val="single" w:sz="4" w:color="000000"/>
              <w:left w:val="single" w:sz="4" w:color="000000"/>
              <w:bottom w:val="single" w:sz="4" w:color="000000"/>
              <w:right w:val="single" w:sz="4" w:color="000000"/>
            </w:tcBorders>
          </w:tcPr>
          <w:p>
            <w:r/>
            <w:r>
              <w:t>Xơ hóa vi mạch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Băng huyết sau sinh phải can thiệp</w:t>
            </w:r>
          </w:p>
        </w:tc>
        <w:tc>
          <w:tcPr>
            <w:tcW w:type="dxa" w:w="2880"/>
            <w:tcBorders>
              <w:top w:val="single" w:sz="4" w:color="000000"/>
              <w:left w:val="single" w:sz="4" w:color="000000"/>
              <w:bottom w:val="single" w:sz="4" w:color="000000"/>
              <w:right w:val="single" w:sz="4" w:color="000000"/>
            </w:tcBorders>
          </w:tcPr>
          <w:p>
            <w:r/>
            <w:r>
              <w:t>5–15%</w:t>
            </w:r>
          </w:p>
        </w:tc>
        <w:tc>
          <w:tcPr>
            <w:tcW w:type="dxa" w:w="2880"/>
            <w:tcBorders>
              <w:top w:val="single" w:sz="4" w:color="000000"/>
              <w:left w:val="single" w:sz="4" w:color="000000"/>
              <w:bottom w:val="single" w:sz="4" w:color="000000"/>
              <w:right w:val="single" w:sz="4" w:color="000000"/>
            </w:tcBorders>
          </w:tcPr>
          <w:p>
            <w:r/>
            <w:r>
              <w:t>Nạo cấp cứu + thiếu máu cục bộ</w:t>
            </w:r>
          </w:p>
        </w:tc>
      </w:tr>
    </w:tbl>
    <w:p>
      <w:r>
        <w:rPr>
          <w:b/>
        </w:rPr>
        <w:t>Nhớ:</w:t>
      </w:r>
      <w:r>
        <w:t xml:space="preserve"> Khoảng 90% trường hợp AS có liên quan đến </w:t>
      </w:r>
      <w:r>
        <w:rPr>
          <w:i/>
        </w:rPr>
        <w:t>thai kỳ</w:t>
      </w:r>
      <w:r>
        <w:t xml:space="preserve"> (chu sản). Trong nghiên cứu của Fouks (2022), 74,5% bệnh nhân ở mức trung bình – nặng.</w:t>
      </w:r>
    </w:p>
    <w:p/>
    <w:p>
      <w:pPr>
        <w:pStyle w:val="Heading1"/>
      </w:pPr>
      <w:r>
        <w:t>2. CƠ CHẾ BỆNH SINH</w:t>
      </w:r>
    </w:p>
    <w:p>
      <w:pPr>
        <w:pStyle w:val="Heading2"/>
      </w:pPr>
      <w:r>
        <w:t>2.1. Quá trình hình thành dính (pathway mô học)</w:t>
      </w:r>
    </w:p>
    <w:p>
      <w:r>
        <w:t>Cơ chế bệnh sinh hiện nay theo Munro MG et al. 2025 (PMID 40914965) tổng hợp từ HRU systematic review:</w:t>
      </w:r>
    </w:p>
    <w:p>
      <w:r>
        <w:rPr>
          <w:rFonts w:ascii="Consolas" w:hAnsi="Consolas"/>
          <w:sz w:val="18"/>
        </w:rPr>
        <w:t xml:space="preserve">Tổn thương nội mạc → </w:t>
        <w:br/>
        <w:t xml:space="preserve">  ↓</w:t>
        <w:br/>
        <w:t>Hoạt hóa đại thực bào + cytokine viêm (TNF-α, IL-1β, IL-6) →</w:t>
        <w:br/>
        <w:t xml:space="preserve">  ↓</w:t>
        <w:br/>
        <w:t>Lắng đọng fibrin tổ chức (fibrinous exudate) →</w:t>
        <w:br/>
        <w:t xml:space="preserve">  ↓</w:t>
        <w:br/>
        <w:t>[Tổn thương kéo dài / nhiễm trùng / thiếu estrogen] →</w:t>
        <w:br/>
        <w:t xml:space="preserve">  ↓</w:t>
        <w:br/>
        <w:t>Thay thế bằng mô sợi (fibroblast + collagen type I, III) →</w:t>
        <w:br/>
        <w:t xml:space="preserve">  ↓</w:t>
        <w:br/>
        <w:t>Hình thành dải xơ dính (fibrotic bands) trong buồng tử cung →</w:t>
        <w:br/>
        <w:t xml:space="preserve">  ↓</w:t>
        <w:br/>
        <w:t>Cắt đứt nguồn cung cấp máu nội mạc → teo nội mạc</w:t>
      </w:r>
    </w:p>
    <w:p>
      <w:pPr>
        <w:pStyle w:val="Heading2"/>
      </w:pPr>
      <w:r>
        <w:t>2.2. Các yếu tố quyết định hình thành IUA</w:t>
      </w:r>
    </w:p>
    <w:p>
      <w:r>
        <w:t>Theo Munro 2025 (PMID 40914965) và Wang X et al. 2026 (PMID 42050576, BMC Women's Health):</w:t>
      </w:r>
    </w:p>
    <w:p>
      <w:pPr>
        <w:pStyle w:val="ListNumber"/>
      </w:pPr>
      <w:r>
        <w:rPr>
          <w:b/>
        </w:rPr>
        <w:t>Mức độ sâu tổn thương</w:t>
      </w:r>
      <w:r>
        <w:t>: Tổn thương xuyên lớp đáy nội mạc (lớp spongiosa) → nguy cơ IUA rất cao. Lớp nội mạc chỉ tái tạo từ lớp đáy còn lại; nếu lớp đáy bị xóa → tái tạo không hoàn toàn → xơ hóa.</w:t>
      </w:r>
    </w:p>
    <w:p>
      <w:pPr>
        <w:pStyle w:val="ListNumber"/>
      </w:pPr>
      <w:r>
        <w:rPr>
          <w:b/>
        </w:rPr>
        <w:t>Phản ứng viêm quanh phẫu thuật</w:t>
      </w:r>
      <w:r>
        <w:t>: Nghiên cứu Wang X 2026 cho thấy đáp ứng viêm quanh phẫu thuật (perioperative inflammatory response) là yếu tố quyết định độc lập cho hình thành IUA sau myomectomy.</w:t>
      </w:r>
    </w:p>
    <w:p>
      <w:pPr>
        <w:pStyle w:val="ListNumber"/>
      </w:pPr>
      <w:r>
        <w:rPr>
          <w:b/>
        </w:rPr>
        <w:t>Tình trạng nội tiết</w:t>
      </w:r>
      <w:r>
        <w:t>: Estrogen thấp trong giai đoạn hậu sản → giảm khả năng tái tạo nội mạc. Liệu pháp estrogen sau TCRA dựa trên cơ chế này (giao thoa với liệu pháp tế bào gốc MSC — Jha 2025).</w:t>
      </w:r>
    </w:p>
    <w:p>
      <w:pPr>
        <w:pStyle w:val="ListNumber"/>
      </w:pPr>
      <w:r>
        <w:rPr>
          <w:b/>
        </w:rPr>
        <w:t>Viêm nội mạc tử cung sau can thiệp</w:t>
      </w:r>
      <w:r>
        <w:t>: Nhiễm trùng thứ phát → tăng IL-6, TGF-β → tăng xơ hóa.</w:t>
      </w:r>
    </w:p>
    <w:p>
      <w:pPr>
        <w:pStyle w:val="ListNumber"/>
      </w:pPr>
      <w:r>
        <w:rPr>
          <w:b/>
        </w:rPr>
        <w:t>Thiếu máu cục bộ</w:t>
      </w:r>
      <w:r>
        <w:t>: Nhất là sau băng huyết sau sinh → hoại tử mô → xơ hóa thay thế.</w:t>
      </w:r>
    </w:p>
    <w:p>
      <w:pPr>
        <w:pStyle w:val="Heading2"/>
      </w:pPr>
      <w:r>
        <w:t>2.3. Vai trò của tế bào gốc nội mạc tử cung</w:t>
      </w:r>
    </w:p>
    <w:p>
      <w:r>
        <w:t>Nghiên cứu gần đây cho thấy nội mạc tử cung người có quần thể tế bào gốc cư trú ở lớp đáy (CD146+ PDGFR-β+ mesenchymal stem-like cells). Khi lớp đáy bị tổn thương nặng, quần thể này cạn kiệt → nội mạc tái tạo kém → dễ IUA. Cơ chế này giải thích vì sao MSC trung mô (từ tủy xương, mô mỡ, dây rốn) khi tiêm vào buồng tử cung hoặc động mạch tử cung có thể cải thiện bề dày nội mạc và tỷ lệ có thai (Jha S 2025).</w:t>
      </w:r>
    </w:p>
    <w:p>
      <w:pPr>
        <w:pStyle w:val="Heading2"/>
      </w:pPr>
      <w:r>
        <w:t>2.4. Vai trò của vi mạch nội mạc</w:t>
      </w:r>
    </w:p>
    <w:p>
      <w:r>
        <w:t xml:space="preserve">Nghiên cứu Huang J et al. 2026 (PMID 41534134, EJOG) cho thấy </w:t>
      </w:r>
      <w:r>
        <w:rPr>
          <w:b/>
        </w:rPr>
        <w:t>mật độ vi mạch nội mạc</w:t>
      </w:r>
      <w:r>
        <w:t xml:space="preserve"> (đánh giá qua NBI hysteroscopy + Doppler 2D) là yếu tố bảo vệ độc lập cho phục hồi nội mạc sau TCRA. Nomogram kết hợp NBI + ESGE/AFS cho AUC 0,935–0,939 (tăng rõ rệt so với dùng ESGE đơn thuần AUC 0,651).</w:t>
      </w:r>
    </w:p>
    <w:p/>
    <w:p>
      <w:pPr>
        <w:pStyle w:val="Heading1"/>
      </w:pPr>
      <w:r>
        <w:t>3. CHẨN ĐOÁN</w:t>
      </w:r>
    </w:p>
    <w:p>
      <w:pPr>
        <w:pStyle w:val="Heading2"/>
      </w:pPr>
      <w:r>
        <w:t>3.1. Triệu chứng lâm sàng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Triệu chứng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Tỷ lệ ước tính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Vô kinh thứ phát (secondary amenorrhea)</w:t>
            </w:r>
          </w:p>
        </w:tc>
        <w:tc>
          <w:tcPr>
            <w:tcW w:type="dxa" w:w="4320"/>
            <w:tcBorders>
              <w:top w:val="single" w:sz="4" w:color="000000"/>
              <w:left w:val="single" w:sz="4" w:color="000000"/>
              <w:bottom w:val="single" w:sz="4" w:color="000000"/>
              <w:right w:val="single" w:sz="4" w:color="000000"/>
            </w:tcBorders>
          </w:tcPr>
          <w:p>
            <w:r/>
            <w:r>
              <w:t>30–70% (tùy mức độ dính)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Thiểu kinh (hypomenorrhea)</w:t>
            </w:r>
          </w:p>
        </w:tc>
        <w:tc>
          <w:tcPr>
            <w:tcW w:type="dxa" w:w="4320"/>
            <w:tcBorders>
              <w:top w:val="single" w:sz="4" w:color="000000"/>
              <w:left w:val="single" w:sz="4" w:color="000000"/>
              <w:bottom w:val="single" w:sz="4" w:color="000000"/>
              <w:right w:val="single" w:sz="4" w:color="000000"/>
            </w:tcBorders>
          </w:tcPr>
          <w:p>
            <w:r/>
            <w:r>
              <w:t>20–40%</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Vô sinh (infertility)</w:t>
            </w:r>
          </w:p>
        </w:tc>
        <w:tc>
          <w:tcPr>
            <w:tcW w:type="dxa" w:w="4320"/>
            <w:tcBorders>
              <w:top w:val="single" w:sz="4" w:color="000000"/>
              <w:left w:val="single" w:sz="4" w:color="000000"/>
              <w:bottom w:val="single" w:sz="4" w:color="000000"/>
              <w:right w:val="single" w:sz="4" w:color="000000"/>
            </w:tcBorders>
          </w:tcPr>
          <w:p>
            <w:r/>
            <w:r>
              <w:t>43–80%</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Sảy thai liên tiếp (recurrent pregnancy loss)</w:t>
            </w:r>
          </w:p>
        </w:tc>
        <w:tc>
          <w:tcPr>
            <w:tcW w:type="dxa" w:w="4320"/>
            <w:tcBorders>
              <w:top w:val="single" w:sz="4" w:color="000000"/>
              <w:left w:val="single" w:sz="4" w:color="000000"/>
              <w:bottom w:val="single" w:sz="4" w:color="000000"/>
              <w:right w:val="single" w:sz="4" w:color="000000"/>
            </w:tcBorders>
          </w:tcPr>
          <w:p>
            <w:r/>
            <w:r>
              <w:t>5–39% (Fayek B 2026, PMID 41203068)</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bụng kinh (dysmenorrhea) do ứ máu kinh</w:t>
            </w:r>
          </w:p>
        </w:tc>
        <w:tc>
          <w:tcPr>
            <w:tcW w:type="dxa" w:w="4320"/>
            <w:tcBorders>
              <w:top w:val="single" w:sz="4" w:color="000000"/>
              <w:left w:val="single" w:sz="4" w:color="000000"/>
              <w:bottom w:val="single" w:sz="4" w:color="000000"/>
              <w:right w:val="single" w:sz="4" w:color="000000"/>
            </w:tcBorders>
          </w:tcPr>
          <w:p>
            <w:r/>
            <w:r>
              <w:t>5–20%</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nhau thai sau điều trị</w:t>
            </w:r>
          </w:p>
        </w:tc>
        <w:tc>
          <w:tcPr>
            <w:tcW w:type="dxa" w:w="4320"/>
            <w:tcBorders>
              <w:top w:val="single" w:sz="4" w:color="000000"/>
              <w:left w:val="single" w:sz="4" w:color="000000"/>
              <w:bottom w:val="single" w:sz="4" w:color="000000"/>
              <w:right w:val="single" w:sz="4" w:color="000000"/>
            </w:tcBorders>
          </w:tcPr>
          <w:p>
            <w:r/>
            <w:r>
              <w:t>Tăng nguy cơ nhau tiền đạo, nhau cài răng lược</w:t>
            </w:r>
          </w:p>
        </w:tc>
      </w:tr>
    </w:tbl>
    <w:p>
      <w:r>
        <w:rPr>
          <w:b/>
        </w:rPr>
        <w:t>Đặc điểm vô kinh trong AS</w:t>
      </w:r>
      <w:r>
        <w:t>: Là vô kinh cơ học (do cản trở lưu thông máu kinh) → khác với vô kinh trung ương. Khi tiêm estrogen-progestin thử nghiệm vẫn không ra máu → nghi ngờ cao AS; tuy nhiên có thể nhầm với hội chứng Asherman khu trú (chỉ vô kinh 1 phần).</w:t>
      </w:r>
    </w:p>
    <w:p>
      <w:pPr>
        <w:pStyle w:val="Heading2"/>
      </w:pPr>
      <w:r>
        <w:t>3.2. Các phương pháp chẩn đoán hình ảnh</w:t>
      </w:r>
    </w:p>
    <w:p>
      <w:r>
        <w:rPr>
          <w:b/>
        </w:rPr>
        <w:t>Bảng 4. So sánh các phương pháp chẩn đoán hình ảnh IUA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Phương pháp</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Độ nhạy</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Độ đặc hiệu</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Nhược điểm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Siêu âm 2D qua ngả âm đạo</w:t>
            </w:r>
          </w:p>
        </w:tc>
        <w:tc>
          <w:tcPr>
            <w:tcW w:type="dxa" w:w="1728"/>
            <w:tcBorders>
              <w:top w:val="single" w:sz="4" w:color="000000"/>
              <w:left w:val="single" w:sz="4" w:color="000000"/>
              <w:bottom w:val="single" w:sz="4" w:color="000000"/>
              <w:right w:val="single" w:sz="4" w:color="000000"/>
            </w:tcBorders>
          </w:tcPr>
          <w:p>
            <w:r/>
            <w:r>
              <w:t>50–70%</w:t>
            </w:r>
          </w:p>
        </w:tc>
        <w:tc>
          <w:tcPr>
            <w:tcW w:type="dxa" w:w="1728"/>
            <w:tcBorders>
              <w:top w:val="single" w:sz="4" w:color="000000"/>
              <w:left w:val="single" w:sz="4" w:color="000000"/>
              <w:bottom w:val="single" w:sz="4" w:color="000000"/>
              <w:right w:val="single" w:sz="4" w:color="000000"/>
            </w:tcBorders>
          </w:tcPr>
          <w:p>
            <w:r/>
            <w:r>
              <w:t>80–90%</w:t>
            </w:r>
          </w:p>
        </w:tc>
        <w:tc>
          <w:tcPr>
            <w:tcW w:type="dxa" w:w="1728"/>
            <w:tcBorders>
              <w:top w:val="single" w:sz="4" w:color="000000"/>
              <w:left w:val="single" w:sz="4" w:color="000000"/>
              <w:bottom w:val="single" w:sz="4" w:color="000000"/>
              <w:right w:val="single" w:sz="4" w:color="000000"/>
            </w:tcBorders>
          </w:tcPr>
          <w:p>
            <w:r/>
            <w:r>
              <w:t>Rẻ, không xâm lấn</w:t>
            </w:r>
          </w:p>
        </w:tc>
        <w:tc>
          <w:tcPr>
            <w:tcW w:type="dxa" w:w="1728"/>
            <w:tcBorders>
              <w:top w:val="single" w:sz="4" w:color="000000"/>
              <w:left w:val="single" w:sz="4" w:color="000000"/>
              <w:bottom w:val="single" w:sz="4" w:color="000000"/>
              <w:right w:val="single" w:sz="4" w:color="000000"/>
            </w:tcBorders>
          </w:tcPr>
          <w:p>
            <w:r/>
            <w:r>
              <w:t>Bỏ sót dính nhẹ</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Sonohysterography (SHG / HyFoSy)</w:t>
            </w:r>
          </w:p>
        </w:tc>
        <w:tc>
          <w:tcPr>
            <w:tcW w:type="dxa" w:w="1728"/>
            <w:tcBorders>
              <w:top w:val="single" w:sz="4" w:color="000000"/>
              <w:left w:val="single" w:sz="4" w:color="000000"/>
              <w:bottom w:val="single" w:sz="4" w:color="000000"/>
              <w:right w:val="single" w:sz="4" w:color="000000"/>
            </w:tcBorders>
          </w:tcPr>
          <w:p>
            <w:r/>
            <w:r>
              <w:t>75–88%</w:t>
            </w:r>
          </w:p>
        </w:tc>
        <w:tc>
          <w:tcPr>
            <w:tcW w:type="dxa" w:w="1728"/>
            <w:tcBorders>
              <w:top w:val="single" w:sz="4" w:color="000000"/>
              <w:left w:val="single" w:sz="4" w:color="000000"/>
              <w:bottom w:val="single" w:sz="4" w:color="000000"/>
              <w:right w:val="single" w:sz="4" w:color="000000"/>
            </w:tcBorders>
          </w:tcPr>
          <w:p>
            <w:r/>
            <w:r>
              <w:t>90–95%</w:t>
            </w:r>
          </w:p>
        </w:tc>
        <w:tc>
          <w:tcPr>
            <w:tcW w:type="dxa" w:w="1728"/>
            <w:tcBorders>
              <w:top w:val="single" w:sz="4" w:color="000000"/>
              <w:left w:val="single" w:sz="4" w:color="000000"/>
              <w:bottom w:val="single" w:sz="4" w:color="000000"/>
              <w:right w:val="single" w:sz="4" w:color="000000"/>
            </w:tcBorders>
          </w:tcPr>
          <w:p>
            <w:r/>
            <w:r>
              <w:t>Nhìn rõ dính, đánh giá đáy</w:t>
            </w:r>
          </w:p>
        </w:tc>
        <w:tc>
          <w:tcPr>
            <w:tcW w:type="dxa" w:w="1728"/>
            <w:tcBorders>
              <w:top w:val="single" w:sz="4" w:color="000000"/>
              <w:left w:val="single" w:sz="4" w:color="000000"/>
              <w:bottom w:val="single" w:sz="4" w:color="000000"/>
              <w:right w:val="single" w:sz="4" w:color="000000"/>
            </w:tcBorders>
          </w:tcPr>
          <w:p>
            <w:r/>
            <w:r>
              <w:t>Cần kỹ thuật viên quen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HSG (hysterosalpingogram)</w:t>
            </w:r>
          </w:p>
        </w:tc>
        <w:tc>
          <w:tcPr>
            <w:tcW w:type="dxa" w:w="1728"/>
            <w:tcBorders>
              <w:top w:val="single" w:sz="4" w:color="000000"/>
              <w:left w:val="single" w:sz="4" w:color="000000"/>
              <w:bottom w:val="single" w:sz="4" w:color="000000"/>
              <w:right w:val="single" w:sz="4" w:color="000000"/>
            </w:tcBorders>
          </w:tcPr>
          <w:p>
            <w:r/>
            <w:r>
              <w:t>75–81%</w:t>
            </w:r>
          </w:p>
        </w:tc>
        <w:tc>
          <w:tcPr>
            <w:tcW w:type="dxa" w:w="1728"/>
            <w:tcBorders>
              <w:top w:val="single" w:sz="4" w:color="000000"/>
              <w:left w:val="single" w:sz="4" w:color="000000"/>
              <w:bottom w:val="single" w:sz="4" w:color="000000"/>
              <w:right w:val="single" w:sz="4" w:color="000000"/>
            </w:tcBorders>
          </w:tcPr>
          <w:p>
            <w:r/>
            <w:r>
              <w:t>80–93%</w:t>
            </w:r>
          </w:p>
        </w:tc>
        <w:tc>
          <w:tcPr>
            <w:tcW w:type="dxa" w:w="1728"/>
            <w:tcBorders>
              <w:top w:val="single" w:sz="4" w:color="000000"/>
              <w:left w:val="single" w:sz="4" w:color="000000"/>
              <w:bottom w:val="single" w:sz="4" w:color="000000"/>
              <w:right w:val="single" w:sz="4" w:color="000000"/>
            </w:tcBorders>
          </w:tcPr>
          <w:p>
            <w:r/>
            <w:r>
              <w:t>Đánh giá được vòi trứng</w:t>
            </w:r>
          </w:p>
        </w:tc>
        <w:tc>
          <w:tcPr>
            <w:tcW w:type="dxa" w:w="1728"/>
            <w:tcBorders>
              <w:top w:val="single" w:sz="4" w:color="000000"/>
              <w:left w:val="single" w:sz="4" w:color="000000"/>
              <w:bottom w:val="single" w:sz="4" w:color="000000"/>
              <w:right w:val="single" w:sz="4" w:color="000000"/>
            </w:tcBorders>
          </w:tcPr>
          <w:p>
            <w:r/>
            <w:r>
              <w:t>Bỏ sót dính cổ tử cung, dị ứng thuốc cản quang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3D TVUS</w:t>
            </w:r>
          </w:p>
        </w:tc>
        <w:tc>
          <w:tcPr>
            <w:tcW w:type="dxa" w:w="1728"/>
            <w:tcBorders>
              <w:top w:val="single" w:sz="4" w:color="000000"/>
              <w:left w:val="single" w:sz="4" w:color="000000"/>
              <w:bottom w:val="single" w:sz="4" w:color="000000"/>
              <w:right w:val="single" w:sz="4" w:color="000000"/>
            </w:tcBorders>
          </w:tcPr>
          <w:p>
            <w:r/>
            <w:r>
              <w:t>90%+</w:t>
            </w:r>
          </w:p>
        </w:tc>
        <w:tc>
          <w:tcPr>
            <w:tcW w:type="dxa" w:w="1728"/>
            <w:tcBorders>
              <w:top w:val="single" w:sz="4" w:color="000000"/>
              <w:left w:val="single" w:sz="4" w:color="000000"/>
              <w:bottom w:val="single" w:sz="4" w:color="000000"/>
              <w:right w:val="single" w:sz="4" w:color="000000"/>
            </w:tcBorders>
          </w:tcPr>
          <w:p>
            <w:r/>
            <w:r>
              <w:t>95%+</w:t>
            </w:r>
          </w:p>
        </w:tc>
        <w:tc>
          <w:tcPr>
            <w:tcW w:type="dxa" w:w="1728"/>
            <w:tcBorders>
              <w:top w:val="single" w:sz="4" w:color="000000"/>
              <w:left w:val="single" w:sz="4" w:color="000000"/>
              <w:bottom w:val="single" w:sz="4" w:color="000000"/>
              <w:right w:val="single" w:sz="4" w:color="000000"/>
            </w:tcBorders>
          </w:tcPr>
          <w:p>
            <w:r/>
            <w:r>
              <w:t>Tái tạo 3 chiều buồng tử cung</w:t>
            </w:r>
          </w:p>
        </w:tc>
        <w:tc>
          <w:tcPr>
            <w:tcW w:type="dxa" w:w="1728"/>
            <w:tcBorders>
              <w:top w:val="single" w:sz="4" w:color="000000"/>
              <w:left w:val="single" w:sz="4" w:color="000000"/>
              <w:bottom w:val="single" w:sz="4" w:color="000000"/>
              <w:right w:val="single" w:sz="4" w:color="000000"/>
            </w:tcBorders>
          </w:tcPr>
          <w:p>
            <w:r/>
            <w:r>
              <w:t>Đòi hỏi máy + kinh nghiệm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soi buồng tử cung (hysteroscopy)</w:t>
            </w:r>
          </w:p>
        </w:tc>
        <w:tc>
          <w:tcPr>
            <w:tcW w:type="dxa" w:w="1728"/>
            <w:tcBorders>
              <w:top w:val="single" w:sz="4" w:color="000000"/>
              <w:left w:val="single" w:sz="4" w:color="000000"/>
              <w:bottom w:val="single" w:sz="4" w:color="000000"/>
              <w:right w:val="single" w:sz="4" w:color="000000"/>
            </w:tcBorders>
          </w:tcPr>
          <w:p>
            <w:r/>
            <w:r>
              <w:rPr>
                <w:b/>
              </w:rPr>
              <w:t>97–100%</w:t>
            </w:r>
          </w:p>
        </w:tc>
        <w:tc>
          <w:tcPr>
            <w:tcW w:type="dxa" w:w="1728"/>
            <w:tcBorders>
              <w:top w:val="single" w:sz="4" w:color="000000"/>
              <w:left w:val="single" w:sz="4" w:color="000000"/>
              <w:bottom w:val="single" w:sz="4" w:color="000000"/>
              <w:right w:val="single" w:sz="4" w:color="000000"/>
            </w:tcBorders>
          </w:tcPr>
          <w:p>
            <w:r/>
            <w:r>
              <w:rPr>
                <w:b/>
              </w:rPr>
              <w:t>100%</w:t>
            </w:r>
          </w:p>
        </w:tc>
        <w:tc>
          <w:tcPr>
            <w:tcW w:type="dxa" w:w="1728"/>
            <w:tcBorders>
              <w:top w:val="single" w:sz="4" w:color="000000"/>
              <w:left w:val="single" w:sz="4" w:color="000000"/>
              <w:bottom w:val="single" w:sz="4" w:color="000000"/>
              <w:right w:val="single" w:sz="4" w:color="000000"/>
            </w:tcBorders>
          </w:tcPr>
          <w:p>
            <w:r/>
            <w:r>
              <w:rPr>
                <w:b/>
              </w:rPr>
              <w:t>Tiêu chuẩn vàng — vừa chẩn đoán vừa điều trị</w:t>
            </w:r>
          </w:p>
        </w:tc>
        <w:tc>
          <w:tcPr>
            <w:tcW w:type="dxa" w:w="1728"/>
            <w:tcBorders>
              <w:top w:val="single" w:sz="4" w:color="000000"/>
              <w:left w:val="single" w:sz="4" w:color="000000"/>
              <w:bottom w:val="single" w:sz="4" w:color="000000"/>
              <w:right w:val="single" w:sz="4" w:color="000000"/>
            </w:tcBorders>
          </w:tcPr>
          <w:p>
            <w:r/>
            <w:r>
              <w:t>Xâm lấn, cần gây mê</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soi buồng tử cung NBI (narrow-band imaging)</w:t>
            </w:r>
          </w:p>
        </w:tc>
        <w:tc>
          <w:tcPr>
            <w:tcW w:type="dxa" w:w="1728"/>
            <w:tcBorders>
              <w:top w:val="single" w:sz="4" w:color="000000"/>
              <w:left w:val="single" w:sz="4" w:color="000000"/>
              <w:bottom w:val="single" w:sz="4" w:color="000000"/>
              <w:right w:val="single" w:sz="4" w:color="000000"/>
            </w:tcBorders>
          </w:tcPr>
          <w:p>
            <w:r/>
            <w:r>
              <w:t>Tương đương + đánh giá vi mạch</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Tiên lượng tái dính</w:t>
            </w:r>
          </w:p>
        </w:tc>
        <w:tc>
          <w:tcPr>
            <w:tcW w:type="dxa" w:w="1728"/>
            <w:tcBorders>
              <w:top w:val="single" w:sz="4" w:color="000000"/>
              <w:left w:val="single" w:sz="4" w:color="000000"/>
              <w:bottom w:val="single" w:sz="4" w:color="000000"/>
              <w:right w:val="single" w:sz="4" w:color="000000"/>
            </w:tcBorders>
          </w:tcPr>
          <w:p>
            <w:r/>
            <w:r>
              <w:t>Mới, chưa phổ biến</w:t>
            </w:r>
          </w:p>
        </w:tc>
      </w:tr>
    </w:tbl>
    <w:p>
      <w:pPr>
        <w:pStyle w:val="Heading2"/>
      </w:pPr>
      <w:r>
        <w:t>3.3. Tiêu chuẩn vàng — Hysteroscopy</w:t>
      </w:r>
    </w:p>
    <w:p>
      <w:r>
        <w:t>Hysteroscopy (nội soi buồng tử cung) là tiêu chuẩn vàng chẩn đoán IUA. Hình ảnh đặc trưng:</w:t>
      </w:r>
    </w:p>
    <w:p>
      <w:pPr>
        <w:pStyle w:val="ListBullet"/>
      </w:pPr>
      <w:r>
        <w:t>Dải xơ mỏng trắng, thường nằm ở eo tử cung, hai bên thành bên hoặc trung tâm.</w:t>
      </w:r>
    </w:p>
    <w:p>
      <w:pPr>
        <w:pStyle w:val="ListBullet"/>
      </w:pPr>
      <w:r>
        <w:t>Buồng tử cung méo mó, biến dạng — mất hình tam giác bình thường.</w:t>
      </w:r>
    </w:p>
    <w:p>
      <w:pPr>
        <w:pStyle w:val="ListBullet"/>
      </w:pPr>
      <w:r>
        <w:t>Nội mạc xung quanh thường nhợt nhạt, kém tưới máu.</w:t>
      </w:r>
    </w:p>
    <w:p>
      <w:r>
        <w:t>Trong quá trình TCRA, có thể kết hợp siêu âm bụng (transabdominal ultrasound-guided) hoặc nội soi ổ bụng (laparoscopy) để giám sát, tránh thủng tử cung trong trường hợp dính nặng che lấp cấu trúc giải phẫu.</w:t>
      </w:r>
    </w:p>
    <w:p>
      <w:pPr>
        <w:pStyle w:val="Heading2"/>
      </w:pPr>
      <w:r>
        <w:t>3.4. Các marker tiên lượng mới</w:t>
      </w:r>
    </w:p>
    <w:p>
      <w:r>
        <w:rPr>
          <w:b/>
        </w:rPr>
        <w:t>Tỷ số AMH/FSH ban đầu và pattern kinh nguyệt</w:t>
      </w:r>
      <w:r>
        <w:t xml:space="preserve"> (Li J et al. 2026, PMID 41582008): Tỷ số AMH/FSH thấp kết hợp với thiểu kinh là yếu tố tiên lượng tái dính cao sau TCRA.</w:t>
      </w:r>
    </w:p>
    <w:p>
      <w:r>
        <w:rPr>
          <w:b/>
        </w:rPr>
        <w:t>Bề dày nội mạc tử cung sau điều trị</w:t>
      </w:r>
      <w:r>
        <w:t xml:space="preserve">: Theo Fouks Y 2022 (PMID 35970266), nhóm AS có thai thành công có bề dày nội mạc trung bình 8,2 ± 1,4 mm so với 6,9 ± 1,2 mm ở nhóm không thành công (p = 0,001). Ngưỡng </w:t>
      </w:r>
      <w:r>
        <w:rPr>
          <w:b/>
        </w:rPr>
        <w:t>7 mm</w:t>
      </w:r>
      <w:r>
        <w:t xml:space="preserve"> được nhiều tác giả dùng làm cắt điểm quyết định khả năng làm tổ.</w:t>
      </w:r>
    </w:p>
    <w:p>
      <w:r>
        <w:rPr>
          <w:b/>
        </w:rPr>
        <w:t>Mật độ vi mạch nội mạc qua NBI + Doppler</w:t>
      </w:r>
      <w:r>
        <w:t xml:space="preserve"> (Huang J 2026, PMID 41534134): Khi kết hợp với phân loại ESGE/AFS, mô hình nomogram cho AUC 0,935–0,939 (so với 0,651–0,736 khi chỉ dùng phân loại đơn thuần).</w:t>
      </w:r>
    </w:p>
    <w:p>
      <w:pPr>
        <w:pStyle w:val="Heading2"/>
      </w:pPr>
      <w:r>
        <w:t>3.5. Đánh giá vòi trứng và phân biệt với bệnh lý khác</w:t>
      </w:r>
    </w:p>
    <w:p>
      <w:r>
        <w:t>Trước khi điều trị AS, cần đánh giá:</w:t>
      </w:r>
    </w:p>
    <w:p>
      <w:pPr>
        <w:pStyle w:val="ListBullet"/>
      </w:pPr>
      <w:r>
        <w:t>Tình trạng vòi trứng (HSG hoặc chromopertubation qua nội soi ổ bụng).</w:t>
      </w:r>
    </w:p>
    <w:p>
      <w:pPr>
        <w:pStyle w:val="ListBullet"/>
      </w:pPr>
      <w:r>
        <w:t>Dự trữ buồng trứng (AMH, AFC).</w:t>
      </w:r>
    </w:p>
    <w:p>
      <w:pPr>
        <w:pStyle w:val="ListBullet"/>
      </w:pPr>
      <w:r>
        <w:t>Loại trừ bệnh lý nội tiết gây vô kinh (FSH, E2, prolactin, TSH).</w:t>
      </w:r>
    </w:p>
    <w:p>
      <w:pPr>
        <w:pStyle w:val="ListBullet"/>
      </w:pPr>
      <w:r>
        <w:t>Siêu âm đánh giá tử cung toàn thể (loại trừ bất thường bẩm sinh như vách ngăn, tử cung nhi hóa).</w:t>
      </w:r>
    </w:p>
    <w:p/>
    <w:p>
      <w:pPr>
        <w:pStyle w:val="Heading1"/>
      </w:pPr>
      <w:r>
        <w:t>4. ĐIỀU TRỊ</w:t>
      </w:r>
    </w:p>
    <w:p>
      <w:pPr>
        <w:pStyle w:val="Heading2"/>
      </w:pPr>
      <w:r>
        <w:t>4.1. Nguyên tắc chung</w:t>
      </w:r>
    </w:p>
    <w:p>
      <w:pPr>
        <w:pStyle w:val="ListNumber"/>
      </w:pPr>
      <w:r>
        <w:rPr>
          <w:b/>
        </w:rPr>
        <w:t>Chỉ định điều trị</w:t>
      </w:r>
      <w:r>
        <w:t>: Có triệu chứng (vô sinh, sảy thai liên tiếp, rối loạn kinh, đau bụng kinh do ứ máu) HOẶC dính nặng (AFS ≥5 điểm / Nasr ≥trung bình).</w:t>
      </w:r>
    </w:p>
    <w:p>
      <w:pPr>
        <w:pStyle w:val="ListNumber"/>
      </w:pPr>
      <w:r>
        <w:rPr>
          <w:b/>
        </w:rPr>
        <w:t>Mục tiêu</w:t>
      </w:r>
      <w:r>
        <w:t>: Khôi phục hình thái buồng tử cung bình thường, phục hồi chức năng nội mạc, phòng tái dính.</w:t>
      </w:r>
    </w:p>
    <w:p>
      <w:pPr>
        <w:pStyle w:val="ListNumber"/>
      </w:pPr>
      <w:r>
        <w:rPr>
          <w:b/>
        </w:rPr>
        <w:t>Tiêu chuẩn thành công giải phẫu</w:t>
      </w:r>
      <w:r>
        <w:t>: Nội soi kiểm tra sau 1–3 tháng cho thấy buồng tử cung hình tam giác bình thường, không còn dính hoặc chỉ còn dính mỏng nhẹ.</w:t>
      </w:r>
    </w:p>
    <w:p>
      <w:pPr>
        <w:pStyle w:val="Heading2"/>
      </w:pPr>
      <w:r>
        <w:t>4.2. Cắt dính nội soi buồng tử cung (TCRA — Transcervical Resection of Adhesions)</w:t>
      </w:r>
    </w:p>
    <w:p>
      <w:r>
        <w:t>Đây là phương pháp điều trị tiêu chuẩn cho AS từ trung bình đến nặng. Kỹ thuật:</w:t>
      </w:r>
    </w:p>
    <w:p>
      <w:pPr>
        <w:pStyle w:val="ListBullet"/>
      </w:pPr>
      <w:r>
        <w:t>Sử dụng hysteroscope cứng (outer sheath 8–9 mm) hoặc máy cắt đốt bipolar.</w:t>
      </w:r>
    </w:p>
    <w:p>
      <w:pPr>
        <w:pStyle w:val="ListBullet"/>
      </w:pPr>
      <w:r>
        <w:t>Cắt dải xơ dưới dẫn lưu siêu âm bụng (transabdominal US guidance) hoặc nội soi ổ bụng (laparoscopy) trong dính nặng.</w:t>
      </w:r>
    </w:p>
    <w:p>
      <w:pPr>
        <w:pStyle w:val="ListBullet"/>
      </w:pPr>
      <w:r>
        <w:t>Kỹ thuật Bigatti shaver (Haaekal M et al. 2026, PMID 41786086) là lựa chọn mới, dùng dao cắt quay trong cannula, ít gây tổn thương cơ-nội mạc xung quanh.</w:t>
      </w:r>
    </w:p>
    <w:p>
      <w:pPr>
        <w:pStyle w:val="Heading2"/>
      </w:pPr>
      <w:r>
        <w:t>4.3. Liệu pháp hỗ trợ chống tái dính (Adjuvant therapy)</w:t>
      </w:r>
    </w:p>
    <w:p>
      <w:r>
        <w:t xml:space="preserve">Theo systematic review của Munro MG et al. 2025 (PMID 40914965, Hum Reprod Update — Tier 0 evidence), đây là phần </w:t>
      </w:r>
      <w:r>
        <w:rPr>
          <w:i/>
        </w:rPr>
        <w:t>quan trọng nhất</w:t>
      </w:r>
      <w:r>
        <w:t xml:space="preserve"> quyết định tái dính:</w:t>
      </w:r>
    </w:p>
    <w:p>
      <w:r>
        <w:rPr>
          <w:b/>
        </w:rPr>
        <w:t>Bảng 5. Hiệu quả của các biện pháp chống tái dính sau TCRA (Munro 2025)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Can thiệp</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RR / Tỷ lệ</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95% CI</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Mức evidence</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Số nghiên cứu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dùng hỗ trợ</w:t>
            </w:r>
            <w:r>
              <w:rPr>
                <w:b/>
              </w:rPr>
              <w:t xml:space="preserve"> (chỉ TCRA)</w:t>
            </w:r>
          </w:p>
        </w:tc>
        <w:tc>
          <w:tcPr>
            <w:tcW w:type="dxa" w:w="1728"/>
            <w:tcBorders>
              <w:top w:val="single" w:sz="4" w:color="000000"/>
              <w:left w:val="single" w:sz="4" w:color="000000"/>
              <w:bottom w:val="single" w:sz="4" w:color="000000"/>
              <w:right w:val="single" w:sz="4" w:color="000000"/>
            </w:tcBorders>
          </w:tcPr>
          <w:p>
            <w:r/>
            <w:r>
              <w:t>Tái dính 35%</w:t>
            </w:r>
          </w:p>
        </w:tc>
        <w:tc>
          <w:tcPr>
            <w:tcW w:type="dxa" w:w="1728"/>
            <w:tcBorders>
              <w:top w:val="single" w:sz="4" w:color="000000"/>
              <w:left w:val="single" w:sz="4" w:color="000000"/>
              <w:bottom w:val="single" w:sz="4" w:color="000000"/>
              <w:right w:val="single" w:sz="4" w:color="000000"/>
            </w:tcBorders>
          </w:tcPr>
          <w:p>
            <w:r/>
            <w:r>
              <w:t>24–46%</w:t>
            </w:r>
          </w:p>
        </w:tc>
        <w:tc>
          <w:tcPr>
            <w:tcW w:type="dxa" w:w="1728"/>
            <w:tcBorders>
              <w:top w:val="single" w:sz="4" w:color="000000"/>
              <w:left w:val="single" w:sz="4" w:color="000000"/>
              <w:bottom w:val="single" w:sz="4" w:color="000000"/>
              <w:right w:val="single" w:sz="4" w:color="000000"/>
            </w:tcBorders>
          </w:tcPr>
          <w:p>
            <w:r/>
            <w:r>
              <w:t>poor–good</w:t>
            </w:r>
          </w:p>
        </w:tc>
        <w:tc>
          <w:tcPr>
            <w:tcW w:type="dxa" w:w="1728"/>
            <w:tcBorders>
              <w:top w:val="single" w:sz="4" w:color="000000"/>
              <w:left w:val="single" w:sz="4" w:color="000000"/>
              <w:bottom w:val="single" w:sz="4" w:color="000000"/>
              <w:right w:val="single" w:sz="4" w:color="000000"/>
            </w:tcBorders>
          </w:tcPr>
          <w:p>
            <w:r/>
            <w:r>
              <w:t>13</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Bóng nong (intrauterine balloon) sau TCRA</w:t>
            </w:r>
          </w:p>
        </w:tc>
        <w:tc>
          <w:tcPr>
            <w:tcW w:type="dxa" w:w="1728"/>
            <w:tcBorders>
              <w:top w:val="single" w:sz="4" w:color="000000"/>
              <w:left w:val="single" w:sz="4" w:color="000000"/>
              <w:bottom w:val="single" w:sz="4" w:color="000000"/>
              <w:right w:val="single" w:sz="4" w:color="000000"/>
            </w:tcBorders>
          </w:tcPr>
          <w:p>
            <w:r/>
            <w:r>
              <w:t>Tái dính 43%</w:t>
            </w:r>
          </w:p>
        </w:tc>
        <w:tc>
          <w:tcPr>
            <w:tcW w:type="dxa" w:w="1728"/>
            <w:tcBorders>
              <w:top w:val="single" w:sz="4" w:color="000000"/>
              <w:left w:val="single" w:sz="4" w:color="000000"/>
              <w:bottom w:val="single" w:sz="4" w:color="000000"/>
              <w:right w:val="single" w:sz="4" w:color="000000"/>
            </w:tcBorders>
          </w:tcPr>
          <w:p>
            <w:r/>
            <w:r>
              <w:t>35–51%</w:t>
            </w:r>
          </w:p>
        </w:tc>
        <w:tc>
          <w:tcPr>
            <w:tcW w:type="dxa" w:w="1728"/>
            <w:tcBorders>
              <w:top w:val="single" w:sz="4" w:color="000000"/>
              <w:left w:val="single" w:sz="4" w:color="000000"/>
              <w:bottom w:val="single" w:sz="4" w:color="000000"/>
              <w:right w:val="single" w:sz="4" w:color="000000"/>
            </w:tcBorders>
          </w:tcPr>
          <w:p>
            <w:r/>
            <w:r>
              <w:t>poor–good</w:t>
            </w:r>
          </w:p>
        </w:tc>
        <w:tc>
          <w:tcPr>
            <w:tcW w:type="dxa" w:w="1728"/>
            <w:tcBorders>
              <w:top w:val="single" w:sz="4" w:color="000000"/>
              <w:left w:val="single" w:sz="4" w:color="000000"/>
              <w:bottom w:val="single" w:sz="4" w:color="000000"/>
              <w:right w:val="single" w:sz="4" w:color="000000"/>
            </w:tcBorders>
          </w:tcPr>
          <w:p>
            <w:r/>
            <w:r>
              <w:t>14</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IUD (vòng tránh thai) sau TCRA</w:t>
            </w:r>
          </w:p>
        </w:tc>
        <w:tc>
          <w:tcPr>
            <w:tcW w:type="dxa" w:w="1728"/>
            <w:tcBorders>
              <w:top w:val="single" w:sz="4" w:color="000000"/>
              <w:left w:val="single" w:sz="4" w:color="000000"/>
              <w:bottom w:val="single" w:sz="4" w:color="000000"/>
              <w:right w:val="single" w:sz="4" w:color="000000"/>
            </w:tcBorders>
          </w:tcPr>
          <w:p>
            <w:r/>
            <w:r>
              <w:t>Tái dính 43%</w:t>
            </w:r>
          </w:p>
        </w:tc>
        <w:tc>
          <w:tcPr>
            <w:tcW w:type="dxa" w:w="1728"/>
            <w:tcBorders>
              <w:top w:val="single" w:sz="4" w:color="000000"/>
              <w:left w:val="single" w:sz="4" w:color="000000"/>
              <w:bottom w:val="single" w:sz="4" w:color="000000"/>
              <w:right w:val="single" w:sz="4" w:color="000000"/>
            </w:tcBorders>
          </w:tcPr>
          <w:p>
            <w:r/>
            <w:r>
              <w:t>27–59%</w:t>
            </w:r>
          </w:p>
        </w:tc>
        <w:tc>
          <w:tcPr>
            <w:tcW w:type="dxa" w:w="1728"/>
            <w:tcBorders>
              <w:top w:val="single" w:sz="4" w:color="000000"/>
              <w:left w:val="single" w:sz="4" w:color="000000"/>
              <w:bottom w:val="single" w:sz="4" w:color="000000"/>
              <w:right w:val="single" w:sz="4" w:color="000000"/>
            </w:tcBorders>
          </w:tcPr>
          <w:p>
            <w:r/>
            <w:r>
              <w:t>fair–good</w:t>
            </w:r>
          </w:p>
        </w:tc>
        <w:tc>
          <w:tcPr>
            <w:tcW w:type="dxa" w:w="1728"/>
            <w:tcBorders>
              <w:top w:val="single" w:sz="4" w:color="000000"/>
              <w:left w:val="single" w:sz="4" w:color="000000"/>
              <w:bottom w:val="single" w:sz="4" w:color="000000"/>
              <w:right w:val="single" w:sz="4" w:color="000000"/>
            </w:tcBorders>
          </w:tcPr>
          <w:p>
            <w:r/>
            <w:r>
              <w:t>4</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Gel chống dính (HA gel) sau TCRA — phòng tái dính (secondary)</w:t>
            </w:r>
          </w:p>
        </w:tc>
        <w:tc>
          <w:tcPr>
            <w:tcW w:type="dxa" w:w="1728"/>
            <w:tcBorders>
              <w:top w:val="single" w:sz="4" w:color="000000"/>
              <w:left w:val="single" w:sz="4" w:color="000000"/>
              <w:bottom w:val="single" w:sz="4" w:color="000000"/>
              <w:right w:val="single" w:sz="4" w:color="000000"/>
            </w:tcBorders>
          </w:tcPr>
          <w:p>
            <w:r/>
            <w:r>
              <w:t>Tái dính 28%</w:t>
            </w:r>
          </w:p>
        </w:tc>
        <w:tc>
          <w:tcPr>
            <w:tcW w:type="dxa" w:w="1728"/>
            <w:tcBorders>
              <w:top w:val="single" w:sz="4" w:color="000000"/>
              <w:left w:val="single" w:sz="4" w:color="000000"/>
              <w:bottom w:val="single" w:sz="4" w:color="000000"/>
              <w:right w:val="single" w:sz="4" w:color="000000"/>
            </w:tcBorders>
          </w:tcPr>
          <w:p>
            <w:r/>
            <w:r>
              <w:t>4–62%</w:t>
            </w:r>
          </w:p>
        </w:tc>
        <w:tc>
          <w:tcPr>
            <w:tcW w:type="dxa" w:w="1728"/>
            <w:tcBorders>
              <w:top w:val="single" w:sz="4" w:color="000000"/>
              <w:left w:val="single" w:sz="4" w:color="000000"/>
              <w:bottom w:val="single" w:sz="4" w:color="000000"/>
              <w:right w:val="single" w:sz="4" w:color="000000"/>
            </w:tcBorders>
          </w:tcPr>
          <w:p>
            <w:r/>
            <w:r>
              <w:t>good</w:t>
            </w:r>
          </w:p>
        </w:tc>
        <w:tc>
          <w:tcPr>
            <w:tcW w:type="dxa" w:w="1728"/>
            <w:tcBorders>
              <w:top w:val="single" w:sz="4" w:color="000000"/>
              <w:left w:val="single" w:sz="4" w:color="000000"/>
              <w:bottom w:val="single" w:sz="4" w:color="000000"/>
              <w:right w:val="single" w:sz="4" w:color="000000"/>
            </w:tcBorders>
          </w:tcPr>
          <w:p>
            <w:r/>
            <w:r>
              <w:t>3</w:t>
            </w:r>
          </w:p>
        </w:tc>
      </w:tr>
    </w:tbl>
    <w:p>
      <w:r>
        <w:rPr>
          <w:b/>
        </w:rPr>
        <w:t>Bảng 6. Hiệu quả gel chống dính cho phòng ngừa nguyên phát (sau myomectomy / metroplasty / nạo thai) — Munro 2025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Sau can thiệp</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RR (gel vs. không gel)</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95% CI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I²</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Sau nạo thai</w:t>
            </w:r>
          </w:p>
        </w:tc>
        <w:tc>
          <w:tcPr>
            <w:tcW w:type="dxa" w:w="2160"/>
            <w:tcBorders>
              <w:top w:val="single" w:sz="4" w:color="000000"/>
              <w:left w:val="single" w:sz="4" w:color="000000"/>
              <w:bottom w:val="single" w:sz="4" w:color="000000"/>
              <w:right w:val="single" w:sz="4" w:color="000000"/>
            </w:tcBorders>
          </w:tcPr>
          <w:p>
            <w:r/>
            <w:r>
              <w:rPr>
                <w:b/>
              </w:rPr>
              <w:t>0,45</w:t>
            </w:r>
          </w:p>
        </w:tc>
        <w:tc>
          <w:tcPr>
            <w:tcW w:type="dxa" w:w="2160"/>
            <w:tcBorders>
              <w:top w:val="single" w:sz="4" w:color="000000"/>
              <w:left w:val="single" w:sz="4" w:color="000000"/>
              <w:bottom w:val="single" w:sz="4" w:color="000000"/>
              <w:right w:val="single" w:sz="4" w:color="000000"/>
            </w:tcBorders>
          </w:tcPr>
          <w:p>
            <w:r/>
            <w:r>
              <w:rPr>
                <w:b/>
              </w:rPr>
              <w:t>0,30–0,68</w:t>
            </w:r>
          </w:p>
        </w:tc>
        <w:tc>
          <w:tcPr>
            <w:tcW w:type="dxa" w:w="2160"/>
            <w:tcBorders>
              <w:top w:val="single" w:sz="4" w:color="000000"/>
              <w:left w:val="single" w:sz="4" w:color="000000"/>
              <w:bottom w:val="single" w:sz="4" w:color="000000"/>
              <w:right w:val="single" w:sz="4" w:color="000000"/>
            </w:tcBorders>
          </w:tcPr>
          <w:p>
            <w:r/>
            <w:r>
              <w:t>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Sau myomectomy nội soi</w:t>
            </w:r>
          </w:p>
        </w:tc>
        <w:tc>
          <w:tcPr>
            <w:tcW w:type="dxa" w:w="2160"/>
            <w:tcBorders>
              <w:top w:val="single" w:sz="4" w:color="000000"/>
              <w:left w:val="single" w:sz="4" w:color="000000"/>
              <w:bottom w:val="single" w:sz="4" w:color="000000"/>
              <w:right w:val="single" w:sz="4" w:color="000000"/>
            </w:tcBorders>
          </w:tcPr>
          <w:p>
            <w:r/>
            <w:r>
              <w:rPr>
                <w:b/>
              </w:rPr>
              <w:t>0,38</w:t>
            </w:r>
          </w:p>
        </w:tc>
        <w:tc>
          <w:tcPr>
            <w:tcW w:type="dxa" w:w="2160"/>
            <w:tcBorders>
              <w:top w:val="single" w:sz="4" w:color="000000"/>
              <w:left w:val="single" w:sz="4" w:color="000000"/>
              <w:bottom w:val="single" w:sz="4" w:color="000000"/>
              <w:right w:val="single" w:sz="4" w:color="000000"/>
            </w:tcBorders>
          </w:tcPr>
          <w:p>
            <w:r/>
            <w:r>
              <w:rPr>
                <w:b/>
              </w:rPr>
              <w:t>0,20–0,73</w:t>
            </w:r>
          </w:p>
        </w:tc>
        <w:tc>
          <w:tcPr>
            <w:tcW w:type="dxa" w:w="2160"/>
            <w:tcBorders>
              <w:top w:val="single" w:sz="4" w:color="000000"/>
              <w:left w:val="single" w:sz="4" w:color="000000"/>
              <w:bottom w:val="single" w:sz="4" w:color="000000"/>
              <w:right w:val="single" w:sz="4" w:color="000000"/>
            </w:tcBorders>
          </w:tcPr>
          <w:p>
            <w:r/>
            <w:r>
              <w:t>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Sau metroplasty</w:t>
            </w:r>
          </w:p>
        </w:tc>
        <w:tc>
          <w:tcPr>
            <w:tcW w:type="dxa" w:w="2160"/>
            <w:tcBorders>
              <w:top w:val="single" w:sz="4" w:color="000000"/>
              <w:left w:val="single" w:sz="4" w:color="000000"/>
              <w:bottom w:val="single" w:sz="4" w:color="000000"/>
              <w:right w:val="single" w:sz="4" w:color="000000"/>
            </w:tcBorders>
          </w:tcPr>
          <w:p>
            <w:r/>
            <w:r>
              <w:rPr>
                <w:b/>
              </w:rPr>
              <w:t>0,29</w:t>
            </w:r>
          </w:p>
        </w:tc>
        <w:tc>
          <w:tcPr>
            <w:tcW w:type="dxa" w:w="2160"/>
            <w:tcBorders>
              <w:top w:val="single" w:sz="4" w:color="000000"/>
              <w:left w:val="single" w:sz="4" w:color="000000"/>
              <w:bottom w:val="single" w:sz="4" w:color="000000"/>
              <w:right w:val="single" w:sz="4" w:color="000000"/>
            </w:tcBorders>
          </w:tcPr>
          <w:p>
            <w:r/>
            <w:r>
              <w:rPr>
                <w:b/>
              </w:rPr>
              <w:t>0,12–0,69</w:t>
            </w:r>
          </w:p>
        </w:tc>
        <w:tc>
          <w:tcPr>
            <w:tcW w:type="dxa" w:w="2160"/>
            <w:tcBorders>
              <w:top w:val="single" w:sz="4" w:color="000000"/>
              <w:left w:val="single" w:sz="4" w:color="000000"/>
              <w:bottom w:val="single" w:sz="4" w:color="000000"/>
              <w:right w:val="single" w:sz="4" w:color="000000"/>
            </w:tcBorders>
          </w:tcPr>
          <w:p>
            <w:r/>
            <w:r>
              <w:t>0%</w:t>
            </w:r>
          </w:p>
        </w:tc>
      </w:tr>
    </w:tbl>
    <w:p>
      <w:r>
        <w:rPr>
          <w:b/>
        </w:rPr>
        <w:t>Nhận xét quan trọng</w:t>
      </w:r>
      <w:r>
        <w:t xml:space="preserve">: Gel HA </w:t>
      </w:r>
      <w:r>
        <w:rPr>
          <w:i/>
        </w:rPr>
        <w:t>giảm một nửa</w:t>
      </w:r>
      <w:r>
        <w:t xml:space="preserve"> nguy cơ IUA mới sau các can thiệp ban đầu (nhưng KHÔNG hiệu quả rõ ràng cho phòng tái dính sau TCRA). Đây là điểm then chốt trong thực hành: </w:t>
      </w:r>
      <w:r>
        <w:rPr>
          <w:b/>
        </w:rPr>
        <w:t>dùng gel chống dính ngay từ đầu</w:t>
      </w:r>
      <w:r>
        <w:t xml:space="preserve"> (sau nạo thai / myomectomy), không chờ dính rồi mới xử lý.</w:t>
      </w:r>
    </w:p>
    <w:p>
      <w:r>
        <w:t>Paper Ciftci B 2026 (PMID 42253844, IJWH) trên 77 bệnh nhân cho thấy:</w:t>
      </w:r>
    </w:p>
    <w:p>
      <w:pPr>
        <w:pStyle w:val="ListBullet"/>
      </w:pPr>
      <w:r>
        <w:t>Nhóm HA gel: IUA sau mổ 8,8%</w:t>
      </w:r>
    </w:p>
    <w:p>
      <w:pPr>
        <w:pStyle w:val="ListBullet"/>
      </w:pPr>
      <w:r>
        <w:t>Nhóm chứng: IUA sau mổ 43,2% (p = 0,001)</w:t>
      </w:r>
    </w:p>
    <w:p>
      <w:pPr>
        <w:pStyle w:val="ListBullet"/>
      </w:pPr>
      <w:r>
        <w:rPr>
          <w:b/>
        </w:rPr>
        <w:t>ARR 34,4%</w:t>
      </w:r>
      <w:r>
        <w:t xml:space="preserve"> (absolute risk reduction), </w:t>
      </w:r>
      <w:r>
        <w:rPr>
          <w:b/>
        </w:rPr>
        <w:t>RRR ~80%</w:t>
      </w:r>
      <w:r>
        <w:t xml:space="preserve"> (relative risk reduction)</w:t>
      </w:r>
    </w:p>
    <w:p>
      <w:pPr>
        <w:pStyle w:val="ListBullet"/>
      </w:pPr>
      <w:r>
        <w:t>Dính ở nhóm HA chỉ là dạng mỏng (filmy), chiếm &lt;1/3 buồng tử cung.</w:t>
      </w:r>
    </w:p>
    <w:p>
      <w:r>
        <w:t>Ngược lại, paper Armstrong G 2026 (PMID 41267665, ANZJOG) trên 43 phụ nữ AS cho thấy:</w:t>
      </w:r>
    </w:p>
    <w:p>
      <w:pPr>
        <w:pStyle w:val="ListBullet"/>
      </w:pPr>
      <w:r>
        <w:t>HA gel sau TCRA: không cải thiện tỷ lệ phải mổ lại (19% vs 18%, p = 0,94)</w:t>
      </w:r>
    </w:p>
    <w:p>
      <w:pPr>
        <w:pStyle w:val="ListBullet"/>
      </w:pPr>
      <w:r>
        <w:t>Tỷ lệ có thai: 77% (HA) vs 81% (chứng), p = 0,76</w:t>
      </w:r>
    </w:p>
    <w:p>
      <w:pPr>
        <w:pStyle w:val="ListBullet"/>
      </w:pPr>
      <w:r>
        <w:t xml:space="preserve">Kết luận: </w:t>
      </w:r>
      <w:r>
        <w:rPr>
          <w:b/>
        </w:rPr>
        <w:t>HA gel tại thời điểm TCRA không cải thiện kết cục sinh sản ở nhóm đã có sẵn AS</w:t>
      </w:r>
      <w:r>
        <w:t xml:space="preserve"> (nghịch lý với vai trò phòng ngừa nguyên phát).</w:t>
      </w:r>
    </w:p>
    <w:p>
      <w:pPr>
        <w:pStyle w:val="Heading2"/>
      </w:pPr>
      <w:r>
        <w:t>4.4. Liệu pháp nội tiết sau phẫu thuật</w:t>
      </w:r>
    </w:p>
    <w:p>
      <w:r>
        <w:t>Theo nghiên cứu Sun Y et al. 2022 (PMID 36038909, BMC Women's Health) và kinh nghiệm lâm sàng:</w:t>
      </w:r>
    </w:p>
    <w:p>
      <w:pPr>
        <w:pStyle w:val="ListBullet"/>
      </w:pPr>
      <w:r>
        <w:rPr>
          <w:b/>
        </w:rPr>
        <w:t>Estradiol valerat 4–6 mg/ngày</w:t>
      </w:r>
      <w:r>
        <w:t xml:space="preserve"> trong 21–28 ngày, thêm progesterone 10 ngày cuối → kích thích tái tạo nội mạc.</w:t>
      </w:r>
    </w:p>
    <w:p>
      <w:pPr>
        <w:pStyle w:val="ListBullet"/>
      </w:pPr>
      <w:r>
        <w:t>Bắt đầu ngay sau TCRA, duy trì 2–3 chu kỳ.</w:t>
      </w:r>
    </w:p>
    <w:p>
      <w:pPr>
        <w:pStyle w:val="ListBullet"/>
      </w:pPr>
      <w:r>
        <w:t>Chống chỉ định: K đầu vú, K nội mạc tử cung, huyết khối.</w:t>
      </w:r>
    </w:p>
    <w:p>
      <w:pPr>
        <w:pStyle w:val="Heading2"/>
      </w:pPr>
      <w:r>
        <w:t>4.5. Đặt dụng cụ tử cung (IUD) sau TCRA</w:t>
      </w:r>
    </w:p>
    <w:p>
      <w:pPr>
        <w:pStyle w:val="ListBullet"/>
      </w:pPr>
      <w:r>
        <w:t>Dùng IUD hình chữ Y hoặc IUD chứa progesterone — đặt trong 2–3 tháng.</w:t>
      </w:r>
    </w:p>
    <w:p>
      <w:pPr>
        <w:pStyle w:val="ListBullet"/>
      </w:pPr>
      <w:r>
        <w:rPr>
          <w:b/>
        </w:rPr>
        <w:t>Bằng chứng mâu thuẫn</w:t>
      </w:r>
      <w:r>
        <w:t>: Hệ thống review Munro 2025 cho thấy IUD đơn thuần không hiệu quả hơn không can thiệp (tái dính 43% cả hai nhóm).</w:t>
      </w:r>
    </w:p>
    <w:p>
      <w:pPr>
        <w:pStyle w:val="ListBullet"/>
      </w:pPr>
      <w:r>
        <w:t>Hiện nay ít dùng đơn lẻ, thường kết hợp với gel chống dính hoặc bóng nong.</w:t>
      </w:r>
    </w:p>
    <w:p>
      <w:pPr>
        <w:pStyle w:val="Heading2"/>
      </w:pPr>
      <w:r>
        <w:t>4.6. Bóng nong buồng tử cung (Intrauterine Balloon)</w:t>
      </w:r>
    </w:p>
    <w:p>
      <w:r>
        <w:t>Theo meta-analysis của Xu P et al. 2026 (PMID 41654781, BMC Pregnancy and Childbirth, n=10 RCT):</w:t>
      </w:r>
    </w:p>
    <w:p>
      <w:r>
        <w:rPr>
          <w:b/>
        </w:rPr>
        <w:t>Bảng 7. So sánh thời gian đặt bóng (Xu P 2026)</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Loại bóng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Thời gian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Kết cục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log OR (95% CI)</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Foley</w:t>
            </w:r>
          </w:p>
        </w:tc>
        <w:tc>
          <w:tcPr>
            <w:tcW w:type="dxa" w:w="1728"/>
            <w:tcBorders>
              <w:top w:val="single" w:sz="4" w:color="000000"/>
              <w:left w:val="single" w:sz="4" w:color="000000"/>
              <w:bottom w:val="single" w:sz="4" w:color="000000"/>
              <w:right w:val="single" w:sz="4" w:color="000000"/>
            </w:tcBorders>
          </w:tcPr>
          <w:p>
            <w:r/>
            <w:r>
              <w:t>&gt;1 tuần vs 1 tuần</w:t>
            </w:r>
          </w:p>
        </w:tc>
        <w:tc>
          <w:tcPr>
            <w:tcW w:type="dxa" w:w="1728"/>
            <w:tcBorders>
              <w:top w:val="single" w:sz="4" w:color="000000"/>
              <w:left w:val="single" w:sz="4" w:color="000000"/>
              <w:bottom w:val="single" w:sz="4" w:color="000000"/>
              <w:right w:val="single" w:sz="4" w:color="000000"/>
            </w:tcBorders>
          </w:tcPr>
          <w:p>
            <w:r/>
            <w:r>
              <w:t>Tái dính (RR)</w:t>
            </w:r>
          </w:p>
        </w:tc>
        <w:tc>
          <w:tcPr>
            <w:tcW w:type="dxa" w:w="1728"/>
            <w:tcBorders>
              <w:top w:val="single" w:sz="4" w:color="000000"/>
              <w:left w:val="single" w:sz="4" w:color="000000"/>
              <w:bottom w:val="single" w:sz="4" w:color="000000"/>
              <w:right w:val="single" w:sz="4" w:color="000000"/>
            </w:tcBorders>
          </w:tcPr>
          <w:p>
            <w:r/>
            <w:r>
              <w:rPr>
                <w:b/>
              </w:rPr>
              <w:t>−0,74 (−1,12 đến −0,36)</w:t>
            </w:r>
          </w:p>
        </w:tc>
        <w:tc>
          <w:tcPr>
            <w:tcW w:type="dxa" w:w="1728"/>
            <w:tcBorders>
              <w:top w:val="single" w:sz="4" w:color="000000"/>
              <w:left w:val="single" w:sz="4" w:color="000000"/>
              <w:bottom w:val="single" w:sz="4" w:color="000000"/>
              <w:right w:val="single" w:sz="4" w:color="000000"/>
            </w:tcBorders>
          </w:tcPr>
          <w:p>
            <w:r/>
            <w:r>
              <w:rPr>
                <w:b/>
              </w:rPr>
              <w:t>0,000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Cook (heart-shaped)</w:t>
            </w:r>
          </w:p>
        </w:tc>
        <w:tc>
          <w:tcPr>
            <w:tcW w:type="dxa" w:w="1728"/>
            <w:tcBorders>
              <w:top w:val="single" w:sz="4" w:color="000000"/>
              <w:left w:val="single" w:sz="4" w:color="000000"/>
              <w:bottom w:val="single" w:sz="4" w:color="000000"/>
              <w:right w:val="single" w:sz="4" w:color="000000"/>
            </w:tcBorders>
          </w:tcPr>
          <w:p>
            <w:r/>
            <w:r>
              <w:t>&gt;1 tuần vs 1 tuần</w:t>
            </w:r>
          </w:p>
        </w:tc>
        <w:tc>
          <w:tcPr>
            <w:tcW w:type="dxa" w:w="1728"/>
            <w:tcBorders>
              <w:top w:val="single" w:sz="4" w:color="000000"/>
              <w:left w:val="single" w:sz="4" w:color="000000"/>
              <w:bottom w:val="single" w:sz="4" w:color="000000"/>
              <w:right w:val="single" w:sz="4" w:color="000000"/>
            </w:tcBorders>
          </w:tcPr>
          <w:p>
            <w:r/>
            <w:r>
              <w:t>Tái dính (RR)</w:t>
            </w:r>
          </w:p>
        </w:tc>
        <w:tc>
          <w:tcPr>
            <w:tcW w:type="dxa" w:w="1728"/>
            <w:tcBorders>
              <w:top w:val="single" w:sz="4" w:color="000000"/>
              <w:left w:val="single" w:sz="4" w:color="000000"/>
              <w:bottom w:val="single" w:sz="4" w:color="000000"/>
              <w:right w:val="single" w:sz="4" w:color="000000"/>
            </w:tcBorders>
          </w:tcPr>
          <w:p>
            <w:r/>
            <w:r>
              <w:t>−0,36 (−0,86 đến 0,15)</w:t>
            </w:r>
          </w:p>
        </w:tc>
        <w:tc>
          <w:tcPr>
            <w:tcW w:type="dxa" w:w="1728"/>
            <w:tcBorders>
              <w:top w:val="single" w:sz="4" w:color="000000"/>
              <w:left w:val="single" w:sz="4" w:color="000000"/>
              <w:bottom w:val="single" w:sz="4" w:color="000000"/>
              <w:right w:val="single" w:sz="4" w:color="000000"/>
            </w:tcBorders>
          </w:tcPr>
          <w:p>
            <w:r/>
            <w:r>
              <w:t>0,168</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Foley</w:t>
            </w:r>
          </w:p>
        </w:tc>
        <w:tc>
          <w:tcPr>
            <w:tcW w:type="dxa" w:w="1728"/>
            <w:tcBorders>
              <w:top w:val="single" w:sz="4" w:color="000000"/>
              <w:left w:val="single" w:sz="4" w:color="000000"/>
              <w:bottom w:val="single" w:sz="4" w:color="000000"/>
              <w:right w:val="single" w:sz="4" w:color="000000"/>
            </w:tcBorders>
          </w:tcPr>
          <w:p>
            <w:r/>
            <w:r>
              <w:t>&gt;1 tuần vs 1 tuần</w:t>
            </w:r>
          </w:p>
        </w:tc>
        <w:tc>
          <w:tcPr>
            <w:tcW w:type="dxa" w:w="1728"/>
            <w:tcBorders>
              <w:top w:val="single" w:sz="4" w:color="000000"/>
              <w:left w:val="single" w:sz="4" w:color="000000"/>
              <w:bottom w:val="single" w:sz="4" w:color="000000"/>
              <w:right w:val="single" w:sz="4" w:color="000000"/>
            </w:tcBorders>
          </w:tcPr>
          <w:p>
            <w:r/>
            <w:r>
              <w:t>Pregnancy rate</w:t>
            </w:r>
          </w:p>
        </w:tc>
        <w:tc>
          <w:tcPr>
            <w:tcW w:type="dxa" w:w="1728"/>
            <w:tcBorders>
              <w:top w:val="single" w:sz="4" w:color="000000"/>
              <w:left w:val="single" w:sz="4" w:color="000000"/>
              <w:bottom w:val="single" w:sz="4" w:color="000000"/>
              <w:right w:val="single" w:sz="4" w:color="000000"/>
            </w:tcBorders>
          </w:tcPr>
          <w:p>
            <w:r/>
            <w:r>
              <w:t>0,19 (−0,39 đến 0,77)</w:t>
            </w:r>
          </w:p>
        </w:tc>
        <w:tc>
          <w:tcPr>
            <w:tcW w:type="dxa" w:w="1728"/>
            <w:tcBorders>
              <w:top w:val="single" w:sz="4" w:color="000000"/>
              <w:left w:val="single" w:sz="4" w:color="000000"/>
              <w:bottom w:val="single" w:sz="4" w:color="000000"/>
              <w:right w:val="single" w:sz="4" w:color="000000"/>
            </w:tcBorders>
          </w:tcPr>
          <w:p>
            <w:r/>
            <w:r>
              <w:t>0,519</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Cook (heart-shaped)</w:t>
            </w:r>
          </w:p>
        </w:tc>
        <w:tc>
          <w:tcPr>
            <w:tcW w:type="dxa" w:w="1728"/>
            <w:tcBorders>
              <w:top w:val="single" w:sz="4" w:color="000000"/>
              <w:left w:val="single" w:sz="4" w:color="000000"/>
              <w:bottom w:val="single" w:sz="4" w:color="000000"/>
              <w:right w:val="single" w:sz="4" w:color="000000"/>
            </w:tcBorders>
          </w:tcPr>
          <w:p>
            <w:r/>
            <w:r>
              <w:t>&gt;1 tuần vs 1 tuần</w:t>
            </w:r>
          </w:p>
        </w:tc>
        <w:tc>
          <w:tcPr>
            <w:tcW w:type="dxa" w:w="1728"/>
            <w:tcBorders>
              <w:top w:val="single" w:sz="4" w:color="000000"/>
              <w:left w:val="single" w:sz="4" w:color="000000"/>
              <w:bottom w:val="single" w:sz="4" w:color="000000"/>
              <w:right w:val="single" w:sz="4" w:color="000000"/>
            </w:tcBorders>
          </w:tcPr>
          <w:p>
            <w:r/>
            <w:r>
              <w:t>Pregnancy rate</w:t>
            </w:r>
          </w:p>
        </w:tc>
        <w:tc>
          <w:tcPr>
            <w:tcW w:type="dxa" w:w="1728"/>
            <w:tcBorders>
              <w:top w:val="single" w:sz="4" w:color="000000"/>
              <w:left w:val="single" w:sz="4" w:color="000000"/>
              <w:bottom w:val="single" w:sz="4" w:color="000000"/>
              <w:right w:val="single" w:sz="4" w:color="000000"/>
            </w:tcBorders>
          </w:tcPr>
          <w:p>
            <w:r/>
            <w:r>
              <w:rPr>
                <w:b/>
              </w:rPr>
              <w:t>0,41 (0,04 đến 0,78)</w:t>
            </w:r>
          </w:p>
        </w:tc>
        <w:tc>
          <w:tcPr>
            <w:tcW w:type="dxa" w:w="1728"/>
            <w:tcBorders>
              <w:top w:val="single" w:sz="4" w:color="000000"/>
              <w:left w:val="single" w:sz="4" w:color="000000"/>
              <w:bottom w:val="single" w:sz="4" w:color="000000"/>
              <w:right w:val="single" w:sz="4" w:color="000000"/>
            </w:tcBorders>
          </w:tcPr>
          <w:p>
            <w:r/>
            <w:r>
              <w:rPr>
                <w:b/>
              </w:rPr>
              <w:t>0,029</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Foley</w:t>
            </w:r>
          </w:p>
        </w:tc>
        <w:tc>
          <w:tcPr>
            <w:tcW w:type="dxa" w:w="1728"/>
            <w:tcBorders>
              <w:top w:val="single" w:sz="4" w:color="000000"/>
              <w:left w:val="single" w:sz="4" w:color="000000"/>
              <w:bottom w:val="single" w:sz="4" w:color="000000"/>
              <w:right w:val="single" w:sz="4" w:color="000000"/>
            </w:tcBorders>
          </w:tcPr>
          <w:p>
            <w:r/>
            <w:r>
              <w:t>&gt;1 tuần vs 1 tuần</w:t>
            </w:r>
          </w:p>
        </w:tc>
        <w:tc>
          <w:tcPr>
            <w:tcW w:type="dxa" w:w="1728"/>
            <w:tcBorders>
              <w:top w:val="single" w:sz="4" w:color="000000"/>
              <w:left w:val="single" w:sz="4" w:color="000000"/>
              <w:bottom w:val="single" w:sz="4" w:color="000000"/>
              <w:right w:val="single" w:sz="4" w:color="000000"/>
            </w:tcBorders>
          </w:tcPr>
          <w:p>
            <w:r/>
            <w:r>
              <w:t>Live birth rate</w:t>
            </w:r>
          </w:p>
        </w:tc>
        <w:tc>
          <w:tcPr>
            <w:tcW w:type="dxa" w:w="1728"/>
            <w:tcBorders>
              <w:top w:val="single" w:sz="4" w:color="000000"/>
              <w:left w:val="single" w:sz="4" w:color="000000"/>
              <w:bottom w:val="single" w:sz="4" w:color="000000"/>
              <w:right w:val="single" w:sz="4" w:color="000000"/>
            </w:tcBorders>
          </w:tcPr>
          <w:p>
            <w:r/>
            <w:r>
              <w:t>−0,22 (−0,91 đến 0,48)</w:t>
            </w:r>
          </w:p>
        </w:tc>
        <w:tc>
          <w:tcPr>
            <w:tcW w:type="dxa" w:w="1728"/>
            <w:tcBorders>
              <w:top w:val="single" w:sz="4" w:color="000000"/>
              <w:left w:val="single" w:sz="4" w:color="000000"/>
              <w:bottom w:val="single" w:sz="4" w:color="000000"/>
              <w:right w:val="single" w:sz="4" w:color="000000"/>
            </w:tcBorders>
          </w:tcPr>
          <w:p>
            <w:r/>
            <w:r>
              <w:t>0,539</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Cook (heart-shaped)</w:t>
            </w:r>
          </w:p>
        </w:tc>
        <w:tc>
          <w:tcPr>
            <w:tcW w:type="dxa" w:w="1728"/>
            <w:tcBorders>
              <w:top w:val="single" w:sz="4" w:color="000000"/>
              <w:left w:val="single" w:sz="4" w:color="000000"/>
              <w:bottom w:val="single" w:sz="4" w:color="000000"/>
              <w:right w:val="single" w:sz="4" w:color="000000"/>
            </w:tcBorders>
          </w:tcPr>
          <w:p>
            <w:r/>
            <w:r>
              <w:t>&gt;1 tuần vs 1 tuần</w:t>
            </w:r>
          </w:p>
        </w:tc>
        <w:tc>
          <w:tcPr>
            <w:tcW w:type="dxa" w:w="1728"/>
            <w:tcBorders>
              <w:top w:val="single" w:sz="4" w:color="000000"/>
              <w:left w:val="single" w:sz="4" w:color="000000"/>
              <w:bottom w:val="single" w:sz="4" w:color="000000"/>
              <w:right w:val="single" w:sz="4" w:color="000000"/>
            </w:tcBorders>
          </w:tcPr>
          <w:p>
            <w:r/>
            <w:r>
              <w:t>Live birth rate</w:t>
            </w:r>
          </w:p>
        </w:tc>
        <w:tc>
          <w:tcPr>
            <w:tcW w:type="dxa" w:w="1728"/>
            <w:tcBorders>
              <w:top w:val="single" w:sz="4" w:color="000000"/>
              <w:left w:val="single" w:sz="4" w:color="000000"/>
              <w:bottom w:val="single" w:sz="4" w:color="000000"/>
              <w:right w:val="single" w:sz="4" w:color="000000"/>
            </w:tcBorders>
          </w:tcPr>
          <w:p>
            <w:r/>
            <w:r>
              <w:rPr>
                <w:b/>
              </w:rPr>
              <w:t>0,48 (0,04 đến 0,91)</w:t>
            </w:r>
          </w:p>
        </w:tc>
        <w:tc>
          <w:tcPr>
            <w:tcW w:type="dxa" w:w="1728"/>
            <w:tcBorders>
              <w:top w:val="single" w:sz="4" w:color="000000"/>
              <w:left w:val="single" w:sz="4" w:color="000000"/>
              <w:bottom w:val="single" w:sz="4" w:color="000000"/>
              <w:right w:val="single" w:sz="4" w:color="000000"/>
            </w:tcBorders>
          </w:tcPr>
          <w:p>
            <w:r/>
            <w:r>
              <w:rPr>
                <w:b/>
              </w:rPr>
              <w:t>0,032</w:t>
            </w:r>
          </w:p>
        </w:tc>
      </w:tr>
    </w:tbl>
    <w:p>
      <w:r>
        <w:rPr>
          <w:b/>
        </w:rPr>
        <w:t>Nhận xét</w:t>
      </w:r>
      <w:r>
        <w:t xml:space="preserve">: Với bóng </w:t>
      </w:r>
      <w:r>
        <w:rPr>
          <w:b/>
        </w:rPr>
        <w:t>Foley</w:t>
      </w:r>
      <w:r>
        <w:t xml:space="preserve">, đặt &gt;1 tuần giảm đáng kể tỷ lệ tái dính nhưng không cải thiện pregnancy rate. Với bóng </w:t>
      </w:r>
      <w:r>
        <w:rPr>
          <w:b/>
        </w:rPr>
        <w:t>Cook (heart-shaped)</w:t>
      </w:r>
      <w:r>
        <w:t>, đặt &gt;1 tuần có xu hướng giảm pregnancy rate và live birth rate → đặt ≤1 tuần.</w:t>
      </w:r>
    </w:p>
    <w:p>
      <w:r>
        <w:rPr>
          <w:b/>
        </w:rPr>
        <w:t>Thực hành</w:t>
      </w:r>
      <w:r>
        <w:t xml:space="preserve">: Với TCRA mức trung bình–nặng, nên đặt </w:t>
      </w:r>
      <w:r>
        <w:rPr>
          <w:b/>
        </w:rPr>
        <w:t>bóng Foley trong 3–7 ngày</w:t>
      </w:r>
      <w:r>
        <w:t xml:space="preserve"> + kết hợp gel HA + estrogen liệu pháp.</w:t>
      </w:r>
    </w:p>
    <w:p>
      <w:pPr>
        <w:pStyle w:val="Heading2"/>
      </w:pPr>
      <w:r>
        <w:t>4.7. Liệu pháp tế bào gốc trung mô (MSC) — Lựa chọn cho AS kháng trị</w:t>
      </w:r>
    </w:p>
    <w:p>
      <w:r>
        <w:t>Theo meta-analysis Jha S et al. 2025 (PMID 41694186, Prz Menopauzalny, 12 nghiên cứu, 137 phụ nữ AS kháng trị):</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Kết cục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Hiệu quả MSC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95% CI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bề dày nội mạc (SMD)</w:t>
            </w:r>
          </w:p>
        </w:tc>
        <w:tc>
          <w:tcPr>
            <w:tcW w:type="dxa" w:w="2880"/>
            <w:tcBorders>
              <w:top w:val="single" w:sz="4" w:color="000000"/>
              <w:left w:val="single" w:sz="4" w:color="000000"/>
              <w:bottom w:val="single" w:sz="4" w:color="000000"/>
              <w:right w:val="single" w:sz="4" w:color="000000"/>
            </w:tcBorders>
          </w:tcPr>
          <w:p>
            <w:r/>
            <w:r>
              <w:rPr>
                <w:b/>
              </w:rPr>
              <w:t>+2,09</w:t>
            </w:r>
          </w:p>
        </w:tc>
        <w:tc>
          <w:tcPr>
            <w:tcW w:type="dxa" w:w="2880"/>
            <w:tcBorders>
              <w:top w:val="single" w:sz="4" w:color="000000"/>
              <w:left w:val="single" w:sz="4" w:color="000000"/>
              <w:bottom w:val="single" w:sz="4" w:color="000000"/>
              <w:right w:val="single" w:sz="4" w:color="000000"/>
            </w:tcBorders>
          </w:tcPr>
          <w:p>
            <w:r/>
            <w:r>
              <w:t>1,4–2,7</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Pregnancy rate (RR)</w:t>
            </w:r>
          </w:p>
        </w:tc>
        <w:tc>
          <w:tcPr>
            <w:tcW w:type="dxa" w:w="2880"/>
            <w:tcBorders>
              <w:top w:val="single" w:sz="4" w:color="000000"/>
              <w:left w:val="single" w:sz="4" w:color="000000"/>
              <w:bottom w:val="single" w:sz="4" w:color="000000"/>
              <w:right w:val="single" w:sz="4" w:color="000000"/>
            </w:tcBorders>
          </w:tcPr>
          <w:p>
            <w:r/>
            <w:r>
              <w:rPr>
                <w:b/>
              </w:rPr>
              <w:t>9,35</w:t>
            </w:r>
          </w:p>
        </w:tc>
        <w:tc>
          <w:tcPr>
            <w:tcW w:type="dxa" w:w="2880"/>
            <w:tcBorders>
              <w:top w:val="single" w:sz="4" w:color="000000"/>
              <w:left w:val="single" w:sz="4" w:color="000000"/>
              <w:bottom w:val="single" w:sz="4" w:color="000000"/>
              <w:right w:val="single" w:sz="4" w:color="000000"/>
            </w:tcBorders>
          </w:tcPr>
          <w:p>
            <w:r/>
            <w:r>
              <w:t>4,2–24,9</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Live birth rate (RR)</w:t>
            </w:r>
          </w:p>
        </w:tc>
        <w:tc>
          <w:tcPr>
            <w:tcW w:type="dxa" w:w="2880"/>
            <w:tcBorders>
              <w:top w:val="single" w:sz="4" w:color="000000"/>
              <w:left w:val="single" w:sz="4" w:color="000000"/>
              <w:bottom w:val="single" w:sz="4" w:color="000000"/>
              <w:right w:val="single" w:sz="4" w:color="000000"/>
            </w:tcBorders>
          </w:tcPr>
          <w:p>
            <w:r/>
            <w:r>
              <w:rPr>
                <w:b/>
              </w:rPr>
              <w:t>5,870</w:t>
            </w:r>
          </w:p>
        </w:tc>
        <w:tc>
          <w:tcPr>
            <w:tcW w:type="dxa" w:w="2880"/>
            <w:tcBorders>
              <w:top w:val="single" w:sz="4" w:color="000000"/>
              <w:left w:val="single" w:sz="4" w:color="000000"/>
              <w:bottom w:val="single" w:sz="4" w:color="000000"/>
              <w:right w:val="single" w:sz="4" w:color="000000"/>
            </w:tcBorders>
          </w:tcPr>
          <w:p>
            <w:r/>
            <w:r>
              <w:t>2,071–16,633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Cải thiện kinh nguyệt</w:t>
            </w:r>
          </w:p>
        </w:tc>
        <w:tc>
          <w:tcPr>
            <w:tcW w:type="dxa" w:w="2880"/>
            <w:tcBorders>
              <w:top w:val="single" w:sz="4" w:color="000000"/>
              <w:left w:val="single" w:sz="4" w:color="000000"/>
              <w:bottom w:val="single" w:sz="4" w:color="000000"/>
              <w:right w:val="single" w:sz="4" w:color="000000"/>
            </w:tcBorders>
          </w:tcPr>
          <w:p>
            <w:r/>
            <w:r>
              <w:t>100% bệnh nhân</w:t>
            </w:r>
          </w:p>
        </w:tc>
        <w:tc>
          <w:tcPr>
            <w:tcW w:type="dxa" w:w="2880"/>
            <w:tcBorders>
              <w:top w:val="single" w:sz="4" w:color="000000"/>
              <w:left w:val="single" w:sz="4" w:color="000000"/>
              <w:bottom w:val="single" w:sz="4" w:color="000000"/>
              <w:right w:val="single" w:sz="4" w:color="000000"/>
            </w:tcBorders>
          </w:tcPr>
          <w:p>
            <w:r/>
            <w:r>
              <w:t>—</w:t>
            </w:r>
          </w:p>
        </w:tc>
      </w:tr>
    </w:tbl>
    <w:p>
      <w:r>
        <w:rPr>
          <w:b/>
        </w:rPr>
        <w:t>Cảnh báo</w:t>
      </w:r>
      <w:r>
        <w:t xml:space="preserve">: Hầu hết nghiên cứu là tiền–hậu can thiệp (không có nhóm chứng), cỡ mẫu nhỏ, chưa có RCT lớn → chưa khuyến cáo thường quy. Đây là lựa chọn cho AS </w:t>
      </w:r>
      <w:r>
        <w:rPr>
          <w:i/>
        </w:rPr>
        <w:t>tái phát nhiều lần</w:t>
      </w:r>
      <w:r>
        <w:t>, không đáp ứng với TCRA + adjuvant truyền thống.</w:t>
      </w:r>
    </w:p>
    <w:p>
      <w:r>
        <w:t>Nguồn MSC: tủy xương (BM-MSC), mô mỡ (AD-MSC), dây rốn (UC-MSC), hoặc tế bào gốc nội mạc tử cung (CD146+). Đường đưa vào: tiêm vào thành tử cung dưới nội soi, hoặc truyền qua động mạch tử cung.</w:t>
      </w:r>
    </w:p>
    <w:p>
      <w:pPr>
        <w:pStyle w:val="Heading2"/>
      </w:pPr>
      <w:r>
        <w:t>4.8. Phẫu thuật nội soi ổ bụng (laparoscopy)</w:t>
      </w:r>
    </w:p>
    <w:p>
      <w:r>
        <w:t>Chỉ định:</w:t>
      </w:r>
    </w:p>
    <w:p>
      <w:pPr>
        <w:pStyle w:val="ListBullet"/>
      </w:pPr>
      <w:r>
        <w:t>AS nặng độ III–IV nghi ngờ tổn thương cơ tử cung xuyên thành (cần đánh giá đáy).</w:t>
      </w:r>
    </w:p>
    <w:p>
      <w:pPr>
        <w:pStyle w:val="ListBullet"/>
      </w:pPr>
      <w:r>
        <w:t>Theo dõi trong TCRA dính nặng để tránh thủng.</w:t>
      </w:r>
    </w:p>
    <w:p>
      <w:pPr>
        <w:pStyle w:val="ListBullet"/>
      </w:pPr>
      <w:r>
        <w:t>Kết hợp điều trị bệnh lý vùng chậu phối hợp (lạc nội mạc, u nang buồng trứng).</w:t>
      </w:r>
    </w:p>
    <w:p>
      <w:pPr>
        <w:pStyle w:val="Heading2"/>
      </w:pPr>
      <w:r>
        <w:t>4.9. Theo dõi và đánh giá sau điều trị</w:t>
      </w:r>
    </w:p>
    <w:p>
      <w:r>
        <w:rPr>
          <w:b/>
        </w:rPr>
        <w:t>Bảng 8. Lịch theo dõi sau TCRA</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Đánh giá</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7–14 ngày sau mổ</w:t>
            </w:r>
          </w:p>
        </w:tc>
        <w:tc>
          <w:tcPr>
            <w:tcW w:type="dxa" w:w="4320"/>
            <w:tcBorders>
              <w:top w:val="single" w:sz="4" w:color="000000"/>
              <w:left w:val="single" w:sz="4" w:color="000000"/>
              <w:bottom w:val="single" w:sz="4" w:color="000000"/>
              <w:right w:val="single" w:sz="4" w:color="000000"/>
            </w:tcBorders>
          </w:tcPr>
          <w:p>
            <w:r/>
            <w:r>
              <w:t>Khám vết mổ / âm đạo, siêu âm kiểm tra vị trí bóng nong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1–3 tháng</w:t>
            </w:r>
          </w:p>
        </w:tc>
        <w:tc>
          <w:tcPr>
            <w:tcW w:type="dxa" w:w="4320"/>
            <w:tcBorders>
              <w:top w:val="single" w:sz="4" w:color="000000"/>
              <w:left w:val="single" w:sz="4" w:color="000000"/>
              <w:bottom w:val="single" w:sz="4" w:color="000000"/>
              <w:right w:val="single" w:sz="4" w:color="000000"/>
            </w:tcBorders>
          </w:tcPr>
          <w:p>
            <w:r/>
            <w:r>
              <w:t>Nội soi buồng tử cung kiểm tra (second-look hysteroscopy) — coi là tiêu chuẩn đánh giá kết quả</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3–6 tháng</w:t>
            </w:r>
          </w:p>
        </w:tc>
        <w:tc>
          <w:tcPr>
            <w:tcW w:type="dxa" w:w="4320"/>
            <w:tcBorders>
              <w:top w:val="single" w:sz="4" w:color="000000"/>
              <w:left w:val="single" w:sz="4" w:color="000000"/>
              <w:bottom w:val="single" w:sz="4" w:color="000000"/>
              <w:right w:val="single" w:sz="4" w:color="000000"/>
            </w:tcBorders>
          </w:tcPr>
          <w:p>
            <w:r/>
            <w:r>
              <w:t>Siêu âm 2D/3D bề dày nội mạc, nếu có chỉ định SHG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6–12 tháng</w:t>
            </w:r>
          </w:p>
        </w:tc>
        <w:tc>
          <w:tcPr>
            <w:tcW w:type="dxa" w:w="4320"/>
            <w:tcBorders>
              <w:top w:val="single" w:sz="4" w:color="000000"/>
              <w:left w:val="single" w:sz="4" w:color="000000"/>
              <w:bottom w:val="single" w:sz="4" w:color="000000"/>
              <w:right w:val="single" w:sz="4" w:color="000000"/>
            </w:tcBorders>
          </w:tcPr>
          <w:p>
            <w:r/>
            <w:r>
              <w:t>Tư vấn thai, IVF nếu chưa có thai tự nhiên</w:t>
            </w:r>
          </w:p>
        </w:tc>
      </w:tr>
    </w:tbl>
    <w:p/>
    <w:p>
      <w:pPr>
        <w:pStyle w:val="Heading1"/>
      </w:pPr>
      <w:r>
        <w:t>5. TIÊN LƯỢNG VÀ THEO DÕI</w:t>
      </w:r>
    </w:p>
    <w:p>
      <w:pPr>
        <w:pStyle w:val="Heading2"/>
      </w:pPr>
      <w:r>
        <w:t>5.1. Tiên lượng sinh sản</w:t>
      </w:r>
    </w:p>
    <w:p>
      <w:r>
        <w:rPr>
          <w:b/>
        </w:rPr>
        <w:t>Bảng 9. Kết cục sinh sản sau TCRA ở các mức độ AS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Nghiên cứu</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Tỷ lệ có thai</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Live birth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Fouks Y 2022 (IVF, IVF control) — PMID 35970266</w:t>
            </w:r>
          </w:p>
        </w:tc>
        <w:tc>
          <w:tcPr>
            <w:tcW w:type="dxa" w:w="1728"/>
            <w:tcBorders>
              <w:top w:val="single" w:sz="4" w:color="000000"/>
              <w:left w:val="single" w:sz="4" w:color="000000"/>
              <w:bottom w:val="single" w:sz="4" w:color="000000"/>
              <w:right w:val="single" w:sz="4" w:color="000000"/>
            </w:tcBorders>
          </w:tcPr>
          <w:p>
            <w:r/>
            <w:r>
              <w:t>51 vs 51</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rPr>
                <w:b/>
              </w:rPr>
              <w:t>aOR 0,174</w:t>
            </w:r>
            <w:r>
              <w:t xml:space="preserve"> (95% CI 0,032–0,955) cho AS vừa–nặng</w:t>
            </w:r>
          </w:p>
        </w:tc>
        <w:tc>
          <w:tcPr>
            <w:tcW w:type="dxa" w:w="1728"/>
            <w:tcBorders>
              <w:top w:val="single" w:sz="4" w:color="000000"/>
              <w:left w:val="single" w:sz="4" w:color="000000"/>
              <w:bottom w:val="single" w:sz="4" w:color="000000"/>
              <w:right w:val="single" w:sz="4" w:color="000000"/>
            </w:tcBorders>
          </w:tcPr>
          <w:p>
            <w:r/>
            <w:r>
              <w:t>Bề dày nội mạc 6,95 vs 8,7 mm (p = 0,001)</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Fayek B 2026 (RPL) — PMID 41203068</w:t>
            </w:r>
          </w:p>
        </w:tc>
        <w:tc>
          <w:tcPr>
            <w:tcW w:type="dxa" w:w="1728"/>
            <w:tcBorders>
              <w:top w:val="single" w:sz="4" w:color="000000"/>
              <w:left w:val="single" w:sz="4" w:color="000000"/>
              <w:bottom w:val="single" w:sz="4" w:color="000000"/>
              <w:right w:val="single" w:sz="4" w:color="000000"/>
            </w:tcBorders>
          </w:tcPr>
          <w:p>
            <w:r/>
            <w:r>
              <w:t>74 AS vs 222 không AS</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 xml:space="preserve">Pre-TCRA: aOR </w:t>
            </w:r>
            <w:r>
              <w:rPr>
                <w:b/>
              </w:rPr>
              <w:t>1,5</w:t>
            </w:r>
            <w:r>
              <w:t xml:space="preserve"> (1,1–2,0); Post-TCRA: aOR </w:t>
            </w:r>
            <w:r>
              <w:rPr>
                <w:b/>
              </w:rPr>
              <w:t>3,5</w:t>
            </w:r>
            <w:r>
              <w:t xml:space="preserve"> (1,7–7,1)</w:t>
            </w:r>
          </w:p>
        </w:tc>
        <w:tc>
          <w:tcPr>
            <w:tcW w:type="dxa" w:w="1728"/>
            <w:tcBorders>
              <w:top w:val="single" w:sz="4" w:color="000000"/>
              <w:left w:val="single" w:sz="4" w:color="000000"/>
              <w:bottom w:val="single" w:sz="4" w:color="000000"/>
              <w:right w:val="single" w:sz="4" w:color="000000"/>
            </w:tcBorders>
          </w:tcPr>
          <w:p>
            <w:r/>
            <w:r>
              <w:t>TCRA cải thiện live birth ở nhóm RPL có AS</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Hurni Y 2026 (sau metroplasty) — PMID 41239831</w:t>
            </w:r>
          </w:p>
        </w:tc>
        <w:tc>
          <w:tcPr>
            <w:tcW w:type="dxa" w:w="1728"/>
            <w:tcBorders>
              <w:top w:val="single" w:sz="4" w:color="000000"/>
              <w:left w:val="single" w:sz="4" w:color="000000"/>
              <w:bottom w:val="single" w:sz="4" w:color="000000"/>
              <w:right w:val="single" w:sz="4" w:color="000000"/>
            </w:tcBorders>
          </w:tcPr>
          <w:p>
            <w:r/>
            <w:r>
              <w:t>285</w:t>
            </w:r>
          </w:p>
        </w:tc>
        <w:tc>
          <w:tcPr>
            <w:tcW w:type="dxa" w:w="1728"/>
            <w:tcBorders>
              <w:top w:val="single" w:sz="4" w:color="000000"/>
              <w:left w:val="single" w:sz="4" w:color="000000"/>
              <w:bottom w:val="single" w:sz="4" w:color="000000"/>
              <w:right w:val="single" w:sz="4" w:color="000000"/>
            </w:tcBorders>
          </w:tcPr>
          <w:p>
            <w:r/>
            <w:r>
              <w:t>82,1%</w:t>
            </w:r>
          </w:p>
        </w:tc>
        <w:tc>
          <w:tcPr>
            <w:tcW w:type="dxa" w:w="1728"/>
            <w:tcBorders>
              <w:top w:val="single" w:sz="4" w:color="000000"/>
              <w:left w:val="single" w:sz="4" w:color="000000"/>
              <w:bottom w:val="single" w:sz="4" w:color="000000"/>
              <w:right w:val="single" w:sz="4" w:color="000000"/>
            </w:tcBorders>
          </w:tcPr>
          <w:p>
            <w:r/>
            <w:r>
              <w:rPr>
                <w:b/>
              </w:rPr>
              <w:t>58,2%</w:t>
            </w:r>
          </w:p>
        </w:tc>
        <w:tc>
          <w:tcPr>
            <w:tcW w:type="dxa" w:w="1728"/>
            <w:tcBorders>
              <w:top w:val="single" w:sz="4" w:color="000000"/>
              <w:left w:val="single" w:sz="4" w:color="000000"/>
              <w:bottom w:val="single" w:sz="4" w:color="000000"/>
              <w:right w:val="single" w:sz="4" w:color="000000"/>
            </w:tcBorders>
          </w:tcPr>
          <w:p>
            <w:r/>
            <w:r>
              <w:t>Dính sau mổ chỉ 0,7%</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Armstrong G 2026 (AS + HA gel) — PMID 41267665</w:t>
            </w:r>
          </w:p>
        </w:tc>
        <w:tc>
          <w:tcPr>
            <w:tcW w:type="dxa" w:w="1728"/>
            <w:tcBorders>
              <w:top w:val="single" w:sz="4" w:color="000000"/>
              <w:left w:val="single" w:sz="4" w:color="000000"/>
              <w:bottom w:val="single" w:sz="4" w:color="000000"/>
              <w:right w:val="single" w:sz="4" w:color="000000"/>
            </w:tcBorders>
          </w:tcPr>
          <w:p>
            <w:r/>
            <w:r>
              <w:t>43</w:t>
            </w:r>
          </w:p>
        </w:tc>
        <w:tc>
          <w:tcPr>
            <w:tcW w:type="dxa" w:w="1728"/>
            <w:tcBorders>
              <w:top w:val="single" w:sz="4" w:color="000000"/>
              <w:left w:val="single" w:sz="4" w:color="000000"/>
              <w:bottom w:val="single" w:sz="4" w:color="000000"/>
              <w:right w:val="single" w:sz="4" w:color="000000"/>
            </w:tcBorders>
          </w:tcPr>
          <w:p>
            <w:r/>
            <w:r>
              <w:t>77% (HA) vs 81% (chứng)</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HA gel không cải thiện PR sau TCRA</w:t>
            </w:r>
          </w:p>
        </w:tc>
      </w:tr>
    </w:tbl>
    <w:p>
      <w:r>
        <w:rPr>
          <w:b/>
        </w:rPr>
        <w:t>Giải thích cơ chế</w:t>
      </w:r>
      <w:r>
        <w:t xml:space="preserve"> vì sao TCRA cải thiện kết cục:</w:t>
      </w:r>
    </w:p>
    <w:p>
      <w:pPr>
        <w:pStyle w:val="ListNumber"/>
      </w:pPr>
      <w:r>
        <w:t>Khôi phục thể tích buồng tử cung → tăng diện tích làm tổ.</w:t>
      </w:r>
    </w:p>
    <w:p>
      <w:pPr>
        <w:pStyle w:val="ListNumber"/>
      </w:pPr>
      <w:r>
        <w:t>Phá vỡ cơ học dải xơ → cải thiện tưới máu nội mạc.</w:t>
      </w:r>
    </w:p>
    <w:p>
      <w:pPr>
        <w:pStyle w:val="ListNumber"/>
      </w:pPr>
      <w:r>
        <w:t>Kích thích quá trình viêm–tái tạo lành tính.</w:t>
      </w:r>
    </w:p>
    <w:p>
      <w:pPr>
        <w:pStyle w:val="Heading2"/>
      </w:pPr>
      <w:r>
        <w:t>5.2. Biến chứng sản khoa lâu dài</w:t>
      </w:r>
    </w:p>
    <w:p>
      <w:r>
        <w:t>Theo Munro MG 2025 (PMID 40914965), phụ nữ có tiền sử AS có tăng nguy cơ:</w:t>
      </w:r>
    </w:p>
    <w:p>
      <w:pPr>
        <w:pStyle w:val="ListBullet"/>
      </w:pPr>
      <w:r>
        <w:rPr>
          <w:b/>
        </w:rPr>
        <w:t>Nhau tiền đạo</w:t>
      </w:r>
      <w:r>
        <w:t xml:space="preserve"> (placenta previa) — RR tăng ~3–5 lần.</w:t>
      </w:r>
    </w:p>
    <w:p>
      <w:pPr>
        <w:pStyle w:val="ListBullet"/>
      </w:pPr>
      <w:r>
        <w:rPr>
          <w:b/>
        </w:rPr>
        <w:t>Nhau cài răng lược</w:t>
      </w:r>
      <w:r>
        <w:t xml:space="preserve"> (placenta accreta spectrum) — đặc biệt sau TCRA nhiều lần.</w:t>
      </w:r>
    </w:p>
    <w:p>
      <w:pPr>
        <w:pStyle w:val="ListBullet"/>
      </w:pPr>
      <w:r>
        <w:rPr>
          <w:b/>
        </w:rPr>
        <w:t>Sinh non</w:t>
      </w:r>
      <w:r>
        <w:t xml:space="preserve"> (preterm delivery) — RR 1,5–2,5.</w:t>
      </w:r>
    </w:p>
    <w:p>
      <w:pPr>
        <w:pStyle w:val="ListBullet"/>
      </w:pPr>
      <w:r>
        <w:rPr>
          <w:b/>
        </w:rPr>
        <w:t>Băng huyết sau sinh</w:t>
      </w:r>
      <w:r>
        <w:t xml:space="preserve"> (postpartum hemorrhage) — do nội mạc xơ hóa, rau bám bất thường.</w:t>
      </w:r>
    </w:p>
    <w:p>
      <w:pPr>
        <w:pStyle w:val="ListBullet"/>
      </w:pPr>
      <w:r>
        <w:rPr>
          <w:b/>
        </w:rPr>
        <w:t>Vỡ tử cung</w:t>
      </w:r>
      <w:r>
        <w:t xml:space="preserve"> (uterine rupture) — hiếm nhưng tăng ở nhóm myomectomy nhiều lần.</w:t>
      </w:r>
    </w:p>
    <w:p>
      <w:pPr>
        <w:pStyle w:val="Heading2"/>
      </w:pPr>
      <w:r>
        <w:t>5.3. Theo dõi sản khoa</w:t>
      </w:r>
    </w:p>
    <w:p>
      <w:r>
        <w:t>Khi có thai sau điều trị AS, cần:</w:t>
      </w:r>
    </w:p>
    <w:p>
      <w:pPr>
        <w:pStyle w:val="ListBullet"/>
      </w:pPr>
      <w:r>
        <w:t>Siêu âm sớm xác định vị trí thai + vị trí rau.</w:t>
      </w:r>
    </w:p>
    <w:p>
      <w:pPr>
        <w:pStyle w:val="ListBullet"/>
      </w:pPr>
      <w:r>
        <w:t>Siêu âm Doppler đánh giá tưới máu tử cung–rau ở tuần 20–24.</w:t>
      </w:r>
    </w:p>
    <w:p>
      <w:pPr>
        <w:pStyle w:val="ListBullet"/>
      </w:pPr>
      <w:r>
        <w:t>Đánh giá nguy cơ nhau cài răng lược: nếu có dấu hiệu nghi ngờ → MRI bụng chậu.</w:t>
      </w:r>
    </w:p>
    <w:p>
      <w:pPr>
        <w:pStyle w:val="ListBullet"/>
      </w:pPr>
      <w:r>
        <w:t>Quản lý thai tại cơ sở có phẫu thuật sản–gây mê hồi sức sẵn sàng.</w:t>
      </w:r>
    </w:p>
    <w:p/>
    <w:p>
      <w:pPr>
        <w:pStyle w:val="Heading1"/>
      </w:pPr>
      <w:r>
        <w:t>6. TÓM TẮT VÀ KHUYẾN CÁO LÂM SÀNG</w:t>
      </w:r>
    </w:p>
    <w:p>
      <w:pPr>
        <w:pStyle w:val="Heading2"/>
      </w:pPr>
      <w:r>
        <w:t>6.1. Bảng tóm tắt theo mức độ AS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độ</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AFS</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Hướng xử trí đề xuất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Nhẹ (I)</w:t>
            </w:r>
          </w:p>
        </w:tc>
        <w:tc>
          <w:tcPr>
            <w:tcW w:type="dxa" w:w="2880"/>
            <w:tcBorders>
              <w:top w:val="single" w:sz="4" w:color="000000"/>
              <w:left w:val="single" w:sz="4" w:color="000000"/>
              <w:bottom w:val="single" w:sz="4" w:color="000000"/>
              <w:right w:val="single" w:sz="4" w:color="000000"/>
            </w:tcBorders>
          </w:tcPr>
          <w:p>
            <w:r/>
            <w:r>
              <w:t>1–4 điểm</w:t>
            </w:r>
          </w:p>
        </w:tc>
        <w:tc>
          <w:tcPr>
            <w:tcW w:type="dxa" w:w="2880"/>
            <w:tcBorders>
              <w:top w:val="single" w:sz="4" w:color="000000"/>
              <w:left w:val="single" w:sz="4" w:color="000000"/>
              <w:bottom w:val="single" w:sz="4" w:color="000000"/>
              <w:right w:val="single" w:sz="4" w:color="000000"/>
            </w:tcBorders>
          </w:tcPr>
          <w:p>
            <w:r/>
            <w:r>
              <w:t>TCRA đơn thuần + estrogen + gel HA. Theo dõi 3 tháng.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Trung bình (II)</w:t>
            </w:r>
          </w:p>
        </w:tc>
        <w:tc>
          <w:tcPr>
            <w:tcW w:type="dxa" w:w="2880"/>
            <w:tcBorders>
              <w:top w:val="single" w:sz="4" w:color="000000"/>
              <w:left w:val="single" w:sz="4" w:color="000000"/>
              <w:bottom w:val="single" w:sz="4" w:color="000000"/>
              <w:right w:val="single" w:sz="4" w:color="000000"/>
            </w:tcBorders>
          </w:tcPr>
          <w:p>
            <w:r/>
            <w:r>
              <w:t>5–8 điểm</w:t>
            </w:r>
          </w:p>
        </w:tc>
        <w:tc>
          <w:tcPr>
            <w:tcW w:type="dxa" w:w="2880"/>
            <w:tcBorders>
              <w:top w:val="single" w:sz="4" w:color="000000"/>
              <w:left w:val="single" w:sz="4" w:color="000000"/>
              <w:bottom w:val="single" w:sz="4" w:color="000000"/>
              <w:right w:val="single" w:sz="4" w:color="000000"/>
            </w:tcBorders>
          </w:tcPr>
          <w:p>
            <w:r/>
            <w:r>
              <w:t>TCRA + bóng Foley 3–7 ngày + gel HA + estrogen 3 chu kỳ + IUD tùy trường hợp. Second-look hysteroscopy sau 1–3 tháng.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Nặng (III)</w:t>
            </w:r>
          </w:p>
        </w:tc>
        <w:tc>
          <w:tcPr>
            <w:tcW w:type="dxa" w:w="2880"/>
            <w:tcBorders>
              <w:top w:val="single" w:sz="4" w:color="000000"/>
              <w:left w:val="single" w:sz="4" w:color="000000"/>
              <w:bottom w:val="single" w:sz="4" w:color="000000"/>
              <w:right w:val="single" w:sz="4" w:color="000000"/>
            </w:tcBorders>
          </w:tcPr>
          <w:p>
            <w:r/>
            <w:r>
              <w:t>9–12 điểm / Nasr nặng</w:t>
            </w:r>
          </w:p>
        </w:tc>
        <w:tc>
          <w:tcPr>
            <w:tcW w:type="dxa" w:w="2880"/>
            <w:tcBorders>
              <w:top w:val="single" w:sz="4" w:color="000000"/>
              <w:left w:val="single" w:sz="4" w:color="000000"/>
              <w:bottom w:val="single" w:sz="4" w:color="000000"/>
              <w:right w:val="single" w:sz="4" w:color="000000"/>
            </w:tcBorders>
          </w:tcPr>
          <w:p>
            <w:r/>
            <w:r>
              <w:t>TCRA có hướng dẫn siêu âm / nội soi ổ bụng + gel HA + estrogen. Nếu thất bại 2 lần → xem xét MSC therapy. Tư vấn IVF/ART sớm.</w:t>
            </w:r>
          </w:p>
        </w:tc>
      </w:tr>
    </w:tbl>
    <w:p>
      <w:pPr>
        <w:pStyle w:val="Heading2"/>
      </w:pPr>
      <w:r>
        <w:t>6.2. Khuyến cáo lâm sàng (dựa trên bằng chứng 2024–2026)</w:t>
      </w:r>
    </w:p>
    <w:p>
      <w:pPr>
        <w:pStyle w:val="ListNumber"/>
      </w:pPr>
      <w:r>
        <w:rPr>
          <w:b/>
        </w:rPr>
        <w:t>Phòng ngừa nguyên phát</w:t>
      </w:r>
      <w:r>
        <w:t xml:space="preserve"> là chiến lược tối ưu: dùng gel HA (RR 0,29–0,45) sau mọi can thiệp buồng tử cung có nguy cơ cao (nạo thai &gt;12 tuần, myomectomy, metroplasty). [GUIDELINE — Munro 2025]</w:t>
      </w:r>
    </w:p>
    <w:p>
      <w:pPr>
        <w:pStyle w:val="ListNumber"/>
      </w:pPr>
      <w:r>
        <w:rPr>
          <w:b/>
        </w:rPr>
        <w:t>TCRA có hướng dẫn hình ảnh</w:t>
      </w:r>
      <w:r>
        <w:t xml:space="preserve"> (siêu âm bụng hoặc nội soi ổ bụng) là phương pháp điều trị tiêu chuẩn cho AS trung bình–nặng.</w:t>
      </w:r>
    </w:p>
    <w:p>
      <w:pPr>
        <w:pStyle w:val="ListNumber"/>
      </w:pPr>
      <w:r>
        <w:rPr>
          <w:b/>
        </w:rPr>
        <w:t>Đặt bóng Foley trong 3–7 ngày</w:t>
      </w:r>
      <w:r>
        <w:t xml:space="preserve"> sau TCRA vừa–nặng giảm tái dính so với đặt 1 tuần (log OR −0,74, p = 0,000). Tránh đặt &gt;1 tuần.</w:t>
      </w:r>
    </w:p>
    <w:p>
      <w:pPr>
        <w:pStyle w:val="ListNumber"/>
      </w:pPr>
      <w:r>
        <w:rPr>
          <w:b/>
        </w:rPr>
        <w:t>HA gel tại thời điểm TCRA không cải thiện</w:t>
      </w:r>
      <w:r>
        <w:t xml:space="preserve"> kết cục sinh sản ở nhóm đã có sẵn AS — chỉ dùng cho phòng ngừa nguyên phát.</w:t>
      </w:r>
    </w:p>
    <w:p>
      <w:pPr>
        <w:pStyle w:val="ListNumber"/>
      </w:pPr>
      <w:r>
        <w:rPr>
          <w:b/>
        </w:rPr>
        <w:t>Estrogen liệu pháp</w:t>
      </w:r>
      <w:r>
        <w:t xml:space="preserve"> (estradiol 4–6 mg/ngày × 21–28 ngày × 2–3 chu kỳ) sau TCRA để hỗ trợ tái tạo nội mạc.</w:t>
      </w:r>
    </w:p>
    <w:p>
      <w:pPr>
        <w:pStyle w:val="ListNumber"/>
      </w:pPr>
      <w:r>
        <w:rPr>
          <w:b/>
        </w:rPr>
        <w:t>Hệ phân loại Nasr</w:t>
      </w:r>
      <w:r>
        <w:t xml:space="preserve"> có giá trị tiên đoán live birth tốt nhất (AUC 0,748) — sử dụng khi cần tư vấn tiên lượng.</w:t>
      </w:r>
    </w:p>
    <w:p>
      <w:pPr>
        <w:pStyle w:val="ListNumber"/>
      </w:pPr>
      <w:r>
        <w:rPr>
          <w:b/>
        </w:rPr>
        <w:t>Bề dày nội mạc &lt;7 mm</w:t>
      </w:r>
      <w:r>
        <w:t xml:space="preserve"> sau điều trị → tiên lượng xấu, cân nhắc ART với chuẩn bị nội mạc tối ưu hoặc xem xét liệu pháp MSC.</w:t>
      </w:r>
    </w:p>
    <w:p>
      <w:pPr>
        <w:pStyle w:val="ListNumber"/>
      </w:pPr>
      <w:r>
        <w:rPr>
          <w:b/>
        </w:rPr>
        <w:t>MSC therapy</w:t>
      </w:r>
      <w:r>
        <w:t xml:space="preserve"> là lựa chọn hứa hẹn cho AS kháng trị (pregnancy RR 9,35, live birth RR 5,87), nhưng chưa có khuyến cáo thường quy do thiếu RCT.</w:t>
      </w:r>
    </w:p>
    <w:p>
      <w:pPr>
        <w:pStyle w:val="ListNumber"/>
      </w:pPr>
      <w:r>
        <w:rPr>
          <w:b/>
        </w:rPr>
        <w:t>Theo dõi thai kỳ</w:t>
      </w:r>
      <w:r>
        <w:t xml:space="preserve"> ở phụ nữ có tiền sử AS: tầm soát nhau tiền đạo, nhau cài răng lược, sẵn sàng xử trí băng huyết sau sinh.</w:t>
      </w:r>
    </w:p>
    <w:p>
      <w:pPr>
        <w:pStyle w:val="ListNumber"/>
      </w:pPr>
      <w:r>
        <w:rPr>
          <w:b/>
        </w:rPr>
        <w:t>Hướng nghiên cứu mới</w:t>
      </w:r>
      <w:r>
        <w:t>: NBI hysteroscopy + Doppler nội mạc (nomogram AUC 0,935) giúp tiên lượng tái dính cá nhân hóa; liệu pháp miễn dịch (TGF-β, IL-6) đang được nghiên cứu.</w:t>
      </w:r>
    </w:p>
    <w:p/>
    <w:p>
      <w:pPr>
        <w:pStyle w:val="Heading1"/>
      </w:pPr>
      <w:r>
        <w:t>7. TIPS THỰC HÀNH (CLINICAL PEARLS)</w:t>
      </w:r>
    </w:p>
    <w:p>
      <w:pPr>
        <w:pStyle w:val="ListNumber"/>
      </w:pPr>
      <w:r>
        <w:rPr>
          <w:b/>
        </w:rPr>
        <w:t>Hỏi bệnh sử nạo hút cẩn thận</w:t>
      </w:r>
      <w:r>
        <w:t>: 90% AS liên quan thai kỳ. Khai thác tiền sử nạo sót thai, nạo sau đẻ, băng huyết sau sinh, myomectomy nội soi.</w:t>
      </w:r>
    </w:p>
    <w:p>
      <w:pPr>
        <w:pStyle w:val="ListNumber"/>
      </w:pPr>
      <w:r>
        <w:rPr>
          <w:b/>
        </w:rPr>
        <w:t>Vô kinh thứ phát + tiền sử nạo thai = nghĩ AS đến khi loại trừ</w:t>
      </w:r>
      <w:r>
        <w:t>. Thử estrogen–progestin không ra máu → gợi ý vô kinh cơ học.</w:t>
      </w:r>
    </w:p>
    <w:p>
      <w:pPr>
        <w:pStyle w:val="ListNumber"/>
      </w:pPr>
      <w:r>
        <w:rPr>
          <w:b/>
        </w:rPr>
        <w:t>Siêu âm 2D là đầu tiên, nội soi là tiêu chuẩn vàng</w:t>
      </w:r>
      <w:r>
        <w:t>. Không cần HSG nếu đã có siêu âm + lâm sàng rõ.</w:t>
      </w:r>
    </w:p>
    <w:p>
      <w:pPr>
        <w:pStyle w:val="ListNumber"/>
      </w:pPr>
      <w:r>
        <w:rPr>
          <w:b/>
        </w:rPr>
        <w:t>Không dùng curette sắt (sharp curette) để nạo thai ≥12 tuần</w:t>
      </w:r>
      <w:r>
        <w:t>: ưu tiên hút chân không (suction curettage) để giảm tổn thương lớp đáy nội mạc.</w:t>
      </w:r>
    </w:p>
    <w:p>
      <w:pPr>
        <w:pStyle w:val="ListNumber"/>
      </w:pPr>
      <w:r>
        <w:rPr>
          <w:b/>
        </w:rPr>
        <w:t>Trước mọi can thiệp buồng tử cung</w:t>
      </w:r>
      <w:r>
        <w:t>, hỏi về mong muốn sinh sản. Nếu còn nguyện vọng → cân nhắc dùng gel HA ngay từ đầu (rẻ, hiệu quả RR giảm 50–70%).</w:t>
      </w:r>
    </w:p>
    <w:p>
      <w:pPr>
        <w:pStyle w:val="ListNumber"/>
      </w:pPr>
      <w:r>
        <w:rPr>
          <w:b/>
        </w:rPr>
        <w:t>Không cố cắt dính quá mức</w:t>
      </w:r>
      <w:r>
        <w:t>: ưu tiên phục hồi hình thái buồng tử cung và bảo tồn mô cơ-nội mạc còn lại. Dùng kỹ thuật Bigatti shaver ở dính dày thay vì dao đốt nhiệt.</w:t>
      </w:r>
    </w:p>
    <w:p>
      <w:pPr>
        <w:pStyle w:val="ListNumber"/>
      </w:pPr>
      <w:r>
        <w:rPr>
          <w:b/>
        </w:rPr>
        <w:t>Đừng quên phối hợp đa chuyên khoa</w:t>
      </w:r>
      <w:r>
        <w:t>: với AS nặng, có bác sĩ sản–nội soi + bác sĩ hỗ trợ sinh sản + bác sĩ siêu âm thai can thiệp.</w:t>
      </w:r>
    </w:p>
    <w:p>
      <w:pPr>
        <w:pStyle w:val="ListNumber"/>
      </w:pPr>
      <w:r>
        <w:rPr>
          <w:b/>
        </w:rPr>
        <w:t>Theo dõi bằng nội soi buồng tử cung (second-look) sau 1–3 tháng</w:t>
      </w:r>
      <w:r>
        <w:t xml:space="preserve"> là tiêu chuẩn đánh giá thành công — không chỉ dựa vào siêu âm.</w:t>
      </w:r>
    </w:p>
    <w:p>
      <w:pPr>
        <w:pStyle w:val="ListNumber"/>
      </w:pPr>
      <w:r>
        <w:rPr>
          <w:b/>
        </w:rPr>
        <w:t>Cảnh báo bệnh nhân về biến chứng sản khoa</w:t>
      </w:r>
      <w:r>
        <w:t>: nhau tiền đạo, nhau cài răng lược, sinh non. Khi có thai, khám thai đúng lịch và sinh tại cơ sở có phẫu thuật.</w:t>
      </w:r>
    </w:p>
    <w:p>
      <w:pPr>
        <w:pStyle w:val="ListNumber"/>
      </w:pPr>
      <w:r>
        <w:rPr>
          <w:b/>
        </w:rPr>
        <w:t>Với AS kháng trị 2 lần TCRA</w:t>
      </w:r>
      <w:r>
        <w:t>, chuyển sang trung tâm chuyên sâu để đánh giá khả năng MSC therapy hoặc thụ tinh ống nghiệm với người mang thai hộ (nếu phù hợp pháp lý) — không lặp lại TCRA lần 3 ở cùng cơ sở.</w:t>
      </w:r>
    </w:p>
    <w:p/>
    <w:p>
      <w:pPr>
        <w:pStyle w:val="Heading1"/>
      </w:pPr>
      <w:r>
        <w:t>8. TÀI LIỆU THAM KHẢO (BẮT BUỘC VERIFY QUA PUBMED)</w:t>
      </w:r>
    </w:p>
    <w:p>
      <w:pPr>
        <w:pStyle w:val="ListNumber"/>
      </w:pPr>
      <w:r>
        <w:rPr>
          <w:b/>
        </w:rPr>
        <w:t>Munro MG, Salazar CA, Bhagavath B, et al. (2025)</w:t>
      </w:r>
      <w:r>
        <w:t xml:space="preserve"> "The epidemiology, clinical burden, and prevention of intrauterine adhesions (IUAs) related to surgically induced endometrial trauma: a systematic literature review and selective meta-analyses." </w:t>
      </w:r>
      <w:r>
        <w:rPr>
          <w:i/>
        </w:rPr>
        <w:t>Hum Reprod Update.</w:t>
      </w:r>
      <w:r>
        <w:t xml:space="preserve"> 31(6):588–625. PMID: </w:t>
      </w:r>
      <w:r>
        <w:rPr>
          <w:b/>
        </w:rPr>
        <w:t>40914965</w:t>
      </w:r>
      <w:r>
        <w:t>. DOI: 10.1093/humupd/dmaf019. [TIER 0 — Tier 0 systematic review]</w:t>
      </w:r>
    </w:p>
    <w:p>
      <w:pPr>
        <w:pStyle w:val="ListNumber"/>
      </w:pPr>
      <w:r>
        <w:rPr>
          <w:b/>
        </w:rPr>
        <w:t>Xu P, Ling S, Hu E, Ma L, Yi B. (2026)</w:t>
      </w:r>
      <w:r>
        <w:t xml:space="preserve"> "Comparing durations of intrauterine balloon placement for intrauterine adhesions after hysteroscopic surgery: a systematic review and meta-analysis." </w:t>
      </w:r>
      <w:r>
        <w:rPr>
          <w:i/>
        </w:rPr>
        <w:t>BMC Pregnancy Childbirth.</w:t>
      </w:r>
      <w:r>
        <w:t xml:space="preserve"> 26(1):256. PMID: </w:t>
      </w:r>
      <w:r>
        <w:rPr>
          <w:b/>
        </w:rPr>
        <w:t>41654781</w:t>
      </w:r>
      <w:r>
        <w:t>. DOI: 10.1186/s12884-026-08778-y. [FULL VERIFIED]</w:t>
      </w:r>
    </w:p>
    <w:p>
      <w:pPr>
        <w:pStyle w:val="ListNumber"/>
      </w:pPr>
      <w:r>
        <w:rPr>
          <w:b/>
        </w:rPr>
        <w:t>Cao M, Pan Y, Zhang Q, You D, Feng S, Liu Z. (2021)</w:t>
      </w:r>
      <w:r>
        <w:t xml:space="preserve"> "Predictive value of live birth rate based on different intrauterine adhesion evaluation systems following TCRA." </w:t>
      </w:r>
      <w:r>
        <w:rPr>
          <w:i/>
        </w:rPr>
        <w:t>Reprod Biol Endocrinol.</w:t>
      </w:r>
      <w:r>
        <w:t xml:space="preserve"> 19(1):13. PMID: </w:t>
      </w:r>
      <w:r>
        <w:rPr>
          <w:b/>
        </w:rPr>
        <w:t>33482838</w:t>
      </w:r>
      <w:r>
        <w:t>. DOI: 10.1186/s12958-021-00697-1. [FULL VERIFIED]</w:t>
      </w:r>
    </w:p>
    <w:p>
      <w:pPr>
        <w:pStyle w:val="ListNumber"/>
      </w:pPr>
      <w:r>
        <w:rPr>
          <w:b/>
        </w:rPr>
        <w:t>Fouks Y, Kidron A, Lavie I, Shapira Z, Cohen Y, Levin I, Azem F, Cohen A. (2022)</w:t>
      </w:r>
      <w:r>
        <w:t xml:space="preserve"> "Reproductive Outcomes and Overall Prognosis of Women with Asherman's Syndrome Undergoing IVF." </w:t>
      </w:r>
      <w:r>
        <w:rPr>
          <w:i/>
        </w:rPr>
        <w:t>J Minim Invasive Gynecol.</w:t>
      </w:r>
      <w:r>
        <w:t xml:space="preserve"> 29(11):1253–1259. PMID: </w:t>
      </w:r>
      <w:r>
        <w:rPr>
          <w:b/>
        </w:rPr>
        <w:t>35970266</w:t>
      </w:r>
      <w:r>
        <w:t>. DOI: 10.1016/j.jmig.2022.08.004. [FULL VERIFIED]</w:t>
      </w:r>
    </w:p>
    <w:p>
      <w:pPr>
        <w:pStyle w:val="ListNumber"/>
      </w:pPr>
      <w:r>
        <w:rPr>
          <w:b/>
        </w:rPr>
        <w:t>Fayek B, Won E, Liu YD, Sidhu A, Geerts M, Bedaiwy MA. (2026)</w:t>
      </w:r>
      <w:r>
        <w:t xml:space="preserve"> "Live Birth Outcomes in Patients With Recurrent Pregnancy Loss and Asherman Syndrome: A Retrospective Cohort Study." </w:t>
      </w:r>
      <w:r>
        <w:rPr>
          <w:i/>
        </w:rPr>
        <w:t>J Minim Invasive Gynecol.</w:t>
      </w:r>
      <w:r>
        <w:t xml:space="preserve"> 33(2):205–212. PMID: </w:t>
      </w:r>
      <w:r>
        <w:rPr>
          <w:b/>
        </w:rPr>
        <w:t>41203068</w:t>
      </w:r>
      <w:r>
        <w:t>. DOI: 10.1016/j.jmig.2025.11.001. [FULL VERIFIED]</w:t>
      </w:r>
    </w:p>
    <w:p>
      <w:pPr>
        <w:pStyle w:val="ListNumber"/>
      </w:pPr>
      <w:r>
        <w:rPr>
          <w:b/>
        </w:rPr>
        <w:t>Armstrong G, Abbott J, Deans R. (2026)</w:t>
      </w:r>
      <w:r>
        <w:t xml:space="preserve"> "Fertility and Obstetric Outcomes in Asherman Syndrome: Assessing the Impact of Hyaluronic Acid Post-Hysteroscopic Adhesiolysis." </w:t>
      </w:r>
      <w:r>
        <w:rPr>
          <w:i/>
        </w:rPr>
        <w:t>Aust N Z J Obstet Gynaecol.</w:t>
      </w:r>
      <w:r>
        <w:t xml:space="preserve"> 66(1):e70071. PMID: </w:t>
      </w:r>
      <w:r>
        <w:rPr>
          <w:b/>
        </w:rPr>
        <w:t>41267665</w:t>
      </w:r>
      <w:r>
        <w:t>. DOI: 10.1111/ajo.70071. [FULL VERIFIED]</w:t>
      </w:r>
    </w:p>
    <w:p>
      <w:pPr>
        <w:pStyle w:val="ListNumber"/>
      </w:pPr>
      <w:r>
        <w:rPr>
          <w:b/>
        </w:rPr>
        <w:t>Hurni Y, La Torre F, Saiz-Vivo R, García-Martínez S, Barbany-Freixa N, Cabrera S, Úbeda A. (2026)</w:t>
      </w:r>
      <w:r>
        <w:t xml:space="preserve"> "Incidence of postoperative intrauterine adhesions and septal remnants following hysteroscopic septum resection: A retrospective study." </w:t>
      </w:r>
      <w:r>
        <w:rPr>
          <w:i/>
        </w:rPr>
        <w:t>Int J Gynaecol Obstet.</w:t>
      </w:r>
      <w:r>
        <w:t xml:space="preserve"> 173(2):774–781. PMID: </w:t>
      </w:r>
      <w:r>
        <w:rPr>
          <w:b/>
        </w:rPr>
        <w:t>41239831</w:t>
      </w:r>
      <w:r>
        <w:t>. DOI: 10.1002/ijgo.70672. [FULL VERIFIED]</w:t>
      </w:r>
    </w:p>
    <w:p>
      <w:pPr>
        <w:pStyle w:val="ListNumber"/>
      </w:pPr>
      <w:r>
        <w:rPr>
          <w:b/>
        </w:rPr>
        <w:t>Jha S, Jha VC, Patra P, Jha S, Singh S. (2025)</w:t>
      </w:r>
      <w:r>
        <w:t xml:space="preserve"> "Regenerative capacity of mesenchymal stem cells in the management of Asherman syndrome — a systematic review and meta-analysis of clinical outcomes." </w:t>
      </w:r>
      <w:r>
        <w:rPr>
          <w:i/>
        </w:rPr>
        <w:t>Prz Menopauzalny.</w:t>
      </w:r>
      <w:r>
        <w:t xml:space="preserve"> 24(4):282–292. PMID: </w:t>
      </w:r>
      <w:r>
        <w:rPr>
          <w:b/>
        </w:rPr>
        <w:t>41694186</w:t>
      </w:r>
      <w:r>
        <w:t>. DOI: 10.5114/pm.2025.157933. [FULL VERIFIED]</w:t>
      </w:r>
    </w:p>
    <w:p>
      <w:pPr>
        <w:pStyle w:val="ListNumber"/>
      </w:pPr>
      <w:r>
        <w:rPr>
          <w:b/>
        </w:rPr>
        <w:t>Ciftci B, Karadag B. (2026)</w:t>
      </w:r>
      <w:r>
        <w:t xml:space="preserve"> "Effectiveness of Hyaluronic Acid Gel in Preventing Postoperative Intrauterine Adhesion Formation Following Operative Hysteroscopy." </w:t>
      </w:r>
      <w:r>
        <w:rPr>
          <w:i/>
        </w:rPr>
        <w:t>Int J Womens Health.</w:t>
      </w:r>
      <w:r>
        <w:t xml:space="preserve"> 18:609095. PMID: </w:t>
      </w:r>
      <w:r>
        <w:rPr>
          <w:b/>
        </w:rPr>
        <w:t>42253844</w:t>
      </w:r>
      <w:r>
        <w:t>. DOI: 10.2147/IJWH.S609095. [FULL VERIFIED]</w:t>
      </w:r>
    </w:p>
    <w:p>
      <w:pPr>
        <w:pStyle w:val="ListNumber"/>
      </w:pPr>
      <w:r>
        <w:rPr>
          <w:b/>
        </w:rPr>
        <w:t>Huang J, Huang Y, Chen S, Ye Q, Liang S, Wei C, Zhi Z. (2026)</w:t>
      </w:r>
      <w:r>
        <w:t xml:space="preserve"> "Development of predictive models for endometrial outcomes in patients with intrauterine adhesions post-hysteroscopic adhesiolysis: evaluating endometrial vascularization through narrow-band imaging hysteroscopy and Doppler ultrasound." </w:t>
      </w:r>
      <w:r>
        <w:rPr>
          <w:i/>
        </w:rPr>
        <w:t>Eur J Obstet Gynecol Reprod Biol.</w:t>
      </w:r>
      <w:r>
        <w:t xml:space="preserve"> 318:114951. PMID: </w:t>
      </w:r>
      <w:r>
        <w:rPr>
          <w:b/>
        </w:rPr>
        <w:t>41534134</w:t>
      </w:r>
      <w:r>
        <w:t>. DOI: 10.1016/j.ejogrb.2026.114951. [FULL VERIFIED]</w:t>
      </w:r>
    </w:p>
    <w:p/>
    <w:p>
      <w:r>
        <w:rPr>
          <w:b/>
        </w:rPr>
        <w:t>— Hết bài học ngày 2026-06-23 —</w:t>
      </w:r>
    </w:p>
    <w:p>
      <w:r>
        <w:rPr>
          <w:b/>
        </w:rPr>
        <w:t>Bác sĩ:</w:t>
      </w:r>
      <w:r>
        <w:t xml:space="preserve"> Ngọc 🍅 🐈‍⬛ | </w:t>
      </w:r>
      <w:r>
        <w:rPr>
          <w:b/>
        </w:rPr>
        <w:t>AI assistant:</w:t>
      </w:r>
      <w:r>
        <w:t xml:space="preserve"> MiniMax Mavis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