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NANG TỒN DƯ BUỒNG TRỨNG VÀ Ý NGHĨA TRONG ART</w:t>
      </w:r>
    </w:p>
    <w:p>
      <w:pPr>
        <w:jc w:val="center"/>
      </w:pPr>
      <w:r>
        <w:rPr>
          <w:i/>
        </w:rPr>
        <w:t>Bài học IVF ngày 13/06/2026</w:t>
      </w:r>
    </w:p>
    <w:p/>
    <w:p>
      <w:pPr>
        <w:pStyle w:val="Heading1"/>
      </w:pPr>
      <w:r>
        <w:t>1. Định nghĩa và phân loại</w:t>
      </w:r>
    </w:p>
    <w:p>
      <w:pPr>
        <w:pStyle w:val="Heading2"/>
      </w:pPr>
      <w:r>
        <w:t>1.1 Nang tồn dư sau phẫu thuật (ovarian remnant syndrome)</w:t>
      </w:r>
    </w:p>
    <w:p>
      <w:r>
        <w:t>Mô buồng trứng còn sót lại sau phẫu thuật cắt buồng trứng (oophorectomy), thường do phẫu thuật khó, dính nhiều. Bệnh cảnh hay gặp: phẫu thuật cắt buồng trứng trong endometriosis giai đoạn nặng, viêm vùng chậu mạn, dính tiểu khung. Vẫn có thể hoạt động nội tiết, có thể tạo nang, có thể đau. Chẩn đoán: siêu âm thấy mô buồng trứng cạnh vị trí cắt; FSH/E2 có thể thấp dù đã cắt.</w:t>
      </w:r>
    </w:p>
    <w:p>
      <w:pPr>
        <w:pStyle w:val="Heading2"/>
      </w:pPr>
      <w:r>
        <w:t>1.2 Nang cơ năng buồng trứng (functional ovarian cyst)</w:t>
      </w:r>
    </w:p>
    <w:p>
      <w:pPr>
        <w:pStyle w:val="ListBullet"/>
      </w:pPr>
      <w:r>
        <w:t>Nang nang noãn (follicular cyst): nang trứng không vỡ, tiếp tục phát triển</w:t>
      </w:r>
    </w:p>
    <w:p>
      <w:pPr>
        <w:pStyle w:val="ListBullet"/>
      </w:pPr>
      <w:r>
        <w:t>Nang hoàng thể (luteal cyst): sau rụng trứng, hoàng thể hóa lỏng thành nang</w:t>
      </w:r>
    </w:p>
    <w:p>
      <w:pPr>
        <w:pStyle w:val="ListBullet"/>
      </w:pPr>
      <w:r>
        <w:t>Nang hoàng thể xuất huyết (hemorrhagic corpus luteum): chảy máu trong nang hoàng thể</w:t>
      </w:r>
    </w:p>
    <w:p>
      <w:pPr>
        <w:pStyle w:val="ListBullet"/>
      </w:pPr>
      <w:r>
        <w:t>Kích thước: thường &lt; 5 cm, lành tính</w:t>
      </w:r>
    </w:p>
    <w:p>
      <w:pPr>
        <w:pStyle w:val="ListBullet"/>
      </w:pPr>
      <w:r>
        <w:t>Cơ chế: tăng FSH/HCG kích thích, không vỡ nang đúng chu kỳ</w:t>
      </w:r>
    </w:p>
    <w:p>
      <w:pPr>
        <w:pStyle w:val="Heading2"/>
      </w:pPr>
      <w:r>
        <w:t>1.3 Nang tồn dư do thuốc (phổ biến nhất trong ART)</w:t>
      </w:r>
    </w:p>
    <w:p>
      <w:r>
        <w:t>Theo PMID 16253965 (Qublan 2006): nang buồng trứng có thể hình thành trong quá trình dùng GnRH agonist ở giai đoạn đầu (hiện tượng flare-up) hoặc do suppression không hoàn toàn trong agonist long protocol.</w:t>
      </w:r>
    </w:p>
    <w:p>
      <w:pPr>
        <w:pStyle w:val="Heading1"/>
      </w:pPr>
      <w:r>
        <w:t>2. Cơ chế hình thành nang trong ART</w:t>
      </w:r>
    </w:p>
    <w:p>
      <w:pPr>
        <w:pStyle w:val="Heading2"/>
      </w:pPr>
      <w:r>
        <w:t>2.1 Nang sau GnRH agonist</w:t>
      </w:r>
    </w:p>
    <w:p>
      <w:r>
        <w:t>PMID 16253965 (Qublan 2006) báo cáo: tỷ lệ hình thành nang sau khi dùng GnRH agonist trong IVF khoảng 8-12%. Cơ chế gồm:</w:t>
      </w:r>
    </w:p>
    <w:p>
      <w:pPr>
        <w:pStyle w:val="ListBullet"/>
      </w:pPr>
      <w:r>
        <w:t>Flare-up ban đầu: 2-3 ngày đầu, FSH/LH tăng vọt kích thích nang nhỏ phát triển</w:t>
      </w:r>
    </w:p>
    <w:p>
      <w:pPr>
        <w:pStyle w:val="ListBullet"/>
      </w:pPr>
      <w:r>
        <w:t>Nang tồn tại qua down-regulation: nang lớn &gt; 10 mm không co lại được</w:t>
      </w:r>
    </w:p>
    <w:p>
      <w:pPr>
        <w:pStyle w:val="ListBullet"/>
      </w:pPr>
      <w:r>
        <w:t>Không đáp ứng suppression: nang có tự chủ steroidogenesis</w:t>
      </w:r>
    </w:p>
    <w:p>
      <w:r>
        <w:t>Nang này có thể:</w:t>
      </w:r>
    </w:p>
    <w:p>
      <w:pPr>
        <w:pStyle w:val="ListBullet"/>
      </w:pPr>
      <w:r>
        <w:t>Tự thoái triển trong vài tuần (40-60% trường hợp)</w:t>
      </w:r>
    </w:p>
    <w:p>
      <w:pPr>
        <w:pStyle w:val="ListBullet"/>
      </w:pPr>
      <w:r>
        <w:t>Tồn tại dai dẳng, ảnh hưởng chất lượng noãn</w:t>
      </w:r>
    </w:p>
    <w:p>
      <w:pPr>
        <w:pStyle w:val="ListBullet"/>
      </w:pPr>
      <w:r>
        <w:t>Twist buồng trứng hoặc vỡ</w:t>
      </w:r>
    </w:p>
    <w:p>
      <w:pPr>
        <w:pStyle w:val="Heading2"/>
      </w:pPr>
      <w:r>
        <w:t>2.2 Nang trong antagonist protocol</w:t>
      </w:r>
    </w:p>
    <w:p>
      <w:r>
        <w:t>Ít gặp hơn vì không có flare-up. Có thể xuất hiện do nang cơ năng không thoái triển giữa 2 chu kỳ. Tỷ lệ: 3-5% theo một số nghiên cứu.</w:t>
      </w:r>
    </w:p>
    <w:p>
      <w:pPr>
        <w:pStyle w:val="Heading1"/>
      </w:pPr>
      <w:r>
        <w:t>3. Ảnh hưởng của nang tồn dư trong ART</w:t>
      </w:r>
    </w:p>
    <w:p>
      <w:pPr>
        <w:pStyle w:val="Heading2"/>
      </w:pPr>
      <w:r>
        <w:t>3.1 Ảnh hưởng lên số lượng và chất lượng noãn</w:t>
      </w:r>
    </w:p>
    <w:p>
      <w:pPr>
        <w:pStyle w:val="Heading3"/>
      </w:pPr>
      <w:r>
        <w:t>Giả thuyết 1: Ức chế nang mới</w:t>
      </w:r>
    </w:p>
    <w:p>
      <w:r>
        <w:t>Nang lớn tiết estrogen tự chủ → feedback âm → ức chế FSH nội sinh → cohort nang mới ít được tuyển chọn → giảm số noãn thu được.</w:t>
      </w:r>
    </w:p>
    <w:p>
      <w:pPr>
        <w:pStyle w:val="Heading3"/>
      </w:pPr>
      <w:r>
        <w:t>Giả thuyết 2: Cạnh tranh FSH</w:t>
      </w:r>
    </w:p>
    <w:p>
      <w:r>
        <w:t>Nang tồn dư tiêu thụ FSH → giảm FSH cho cohort mới. Đặc biệt trong cycle mới bắt đầu.</w:t>
      </w:r>
    </w:p>
    <w:p>
      <w:pPr>
        <w:pStyle w:val="Heading3"/>
      </w:pPr>
      <w:r>
        <w:t>Giả thuyết 3: Ảnh hưởng chất lượng noãn</w:t>
      </w:r>
    </w:p>
    <w:p>
      <w:r>
        <w:t>Một số nghiên cứu cho thấy tăng tỷ lệ noãn bất thường, giảm tỷ lệ thụ tinh. PMID 19657665 (Firouzabadi 2010) báo cáo giảm số noãn M2 khi có nang lớn &gt; 16mm.</w:t>
      </w:r>
    </w:p>
    <w:p>
      <w:pPr>
        <w:pStyle w:val="Heading2"/>
      </w:pPr>
      <w:r>
        <w:t>3.2 Nguy cơ biến chứng</w:t>
      </w:r>
    </w:p>
    <w:p>
      <w:pPr>
        <w:pStyle w:val="ListBullet"/>
      </w:pPr>
      <w:r>
        <w:t>Twist buồng trứng: nang lớn &gt; 5-6 cm, đặc biệt nếu hai bên</w:t>
      </w:r>
    </w:p>
    <w:p>
      <w:pPr>
        <w:pStyle w:val="ListBullet"/>
      </w:pPr>
      <w:r>
        <w:t>Vỡ nang: cấp cứu, xuất huyết trong ổ bụng</w:t>
      </w:r>
    </w:p>
    <w:p>
      <w:pPr>
        <w:pStyle w:val="ListBullet"/>
      </w:pPr>
      <w:r>
        <w:t>Xuất huyết trong nang: đau, có thể cần phẫu thuật</w:t>
      </w:r>
    </w:p>
    <w:p>
      <w:pPr>
        <w:pStyle w:val="Heading1"/>
      </w:pPr>
      <w:r>
        <w:t>4. Cách xử lý nang tồn dư trong ART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Phương pháp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Bằng chứng</w:t>
            </w:r>
          </w:p>
        </w:tc>
      </w:tr>
      <w:tr>
        <w:tc>
          <w:tcPr>
            <w:tcW w:type="dxa" w:w="2880"/>
            <w:tcBorders>
              <w:top w:val="single" w:sz="4" w:color="000000"/>
              <w:left w:val="single" w:sz="4" w:color="000000"/>
              <w:bottom w:val="single" w:sz="4" w:color="000000"/>
              <w:right w:val="single" w:sz="4" w:color="000000"/>
            </w:tcBorders>
          </w:tcPr>
          <w:p>
            <w:r>
              <w:rPr>
                <w:b/>
              </w:rPr>
              <w:t>Theo dõi thụ động</w:t>
            </w:r>
          </w:p>
        </w:tc>
        <w:tc>
          <w:tcPr>
            <w:tcW w:type="dxa" w:w="2880"/>
            <w:tcBorders>
              <w:top w:val="single" w:sz="4" w:color="000000"/>
              <w:left w:val="single" w:sz="4" w:color="000000"/>
              <w:bottom w:val="single" w:sz="4" w:color="000000"/>
              <w:right w:val="single" w:sz="4" w:color="000000"/>
            </w:tcBorders>
          </w:tcPr>
          <w:p>
            <w:r>
              <w:t>Nang &lt; 5 cm, không triệu chứng, lành tính</w:t>
            </w:r>
          </w:p>
        </w:tc>
        <w:tc>
          <w:tcPr>
            <w:tcW w:type="dxa" w:w="2880"/>
            <w:tcBorders>
              <w:top w:val="single" w:sz="4" w:color="000000"/>
              <w:left w:val="single" w:sz="4" w:color="000000"/>
              <w:bottom w:val="single" w:sz="4" w:color="000000"/>
              <w:right w:val="single" w:sz="4" w:color="000000"/>
            </w:tcBorders>
          </w:tcPr>
          <w:p>
            <w:r>
              <w:t>Tự thoái trong 1-3 tháng</w:t>
            </w:r>
          </w:p>
        </w:tc>
      </w:tr>
      <w:tr>
        <w:tc>
          <w:tcPr>
            <w:tcW w:type="dxa" w:w="2880"/>
            <w:tcBorders>
              <w:top w:val="single" w:sz="4" w:color="000000"/>
              <w:left w:val="single" w:sz="4" w:color="000000"/>
              <w:bottom w:val="single" w:sz="4" w:color="000000"/>
              <w:right w:val="single" w:sz="4" w:color="000000"/>
            </w:tcBorders>
          </w:tcPr>
          <w:p>
            <w:r>
              <w:rPr>
                <w:b/>
              </w:rPr>
              <w:t>Hút nang qua đường âm đạo</w:t>
            </w:r>
          </w:p>
        </w:tc>
        <w:tc>
          <w:tcPr>
            <w:tcW w:type="dxa" w:w="2880"/>
            <w:tcBorders>
              <w:top w:val="single" w:sz="4" w:color="000000"/>
              <w:left w:val="single" w:sz="4" w:color="000000"/>
              <w:bottom w:val="single" w:sz="4" w:color="000000"/>
              <w:right w:val="single" w:sz="4" w:color="000000"/>
            </w:tcBorders>
          </w:tcPr>
          <w:p>
            <w:r>
              <w:t>Nang &gt; 5-6 cm, tồn tại &gt; 2-3 tháng, có triệu chứng</w:t>
            </w:r>
          </w:p>
        </w:tc>
        <w:tc>
          <w:tcPr>
            <w:tcW w:type="dxa" w:w="2880"/>
            <w:tcBorders>
              <w:top w:val="single" w:sz="4" w:color="000000"/>
              <w:left w:val="single" w:sz="4" w:color="000000"/>
              <w:bottom w:val="single" w:sz="4" w:color="000000"/>
              <w:right w:val="single" w:sz="4" w:color="000000"/>
            </w:tcBorders>
          </w:tcPr>
          <w:p>
            <w:r>
              <w:t>PMID 25502626 (Cochrane 2014): KHÔNG cải thiện live birth rate</w:t>
            </w:r>
          </w:p>
        </w:tc>
      </w:tr>
      <w:tr>
        <w:tc>
          <w:tcPr>
            <w:tcW w:type="dxa" w:w="2880"/>
            <w:tcBorders>
              <w:top w:val="single" w:sz="4" w:color="000000"/>
              <w:left w:val="single" w:sz="4" w:color="000000"/>
              <w:bottom w:val="single" w:sz="4" w:color="000000"/>
              <w:right w:val="single" w:sz="4" w:color="000000"/>
            </w:tcBorders>
          </w:tcPr>
          <w:p>
            <w:r>
              <w:rPr>
                <w:b/>
              </w:rPr>
              <w:t>OCP / GnRH antagonist ngắn hạn</w:t>
            </w:r>
          </w:p>
        </w:tc>
        <w:tc>
          <w:tcPr>
            <w:tcW w:type="dxa" w:w="2880"/>
            <w:tcBorders>
              <w:top w:val="single" w:sz="4" w:color="000000"/>
              <w:left w:val="single" w:sz="4" w:color="000000"/>
              <w:bottom w:val="single" w:sz="4" w:color="000000"/>
              <w:right w:val="single" w:sz="4" w:color="000000"/>
            </w:tcBorders>
          </w:tcPr>
          <w:p>
            <w:r>
              <w:t>Nang cơ năng, cần đồng bộ cohort</w:t>
            </w:r>
          </w:p>
        </w:tc>
        <w:tc>
          <w:tcPr>
            <w:tcW w:type="dxa" w:w="2880"/>
            <w:tcBorders>
              <w:top w:val="single" w:sz="4" w:color="000000"/>
              <w:left w:val="single" w:sz="4" w:color="000000"/>
              <w:bottom w:val="single" w:sz="4" w:color="000000"/>
              <w:right w:val="single" w:sz="4" w:color="000000"/>
            </w:tcBorders>
          </w:tcPr>
          <w:p>
            <w:r>
              <w:t>Đồng bộ cohort nang, giảm FSH nội sinh</w:t>
            </w:r>
          </w:p>
        </w:tc>
      </w:tr>
      <w:tr>
        <w:tc>
          <w:tcPr>
            <w:tcW w:type="dxa" w:w="2880"/>
            <w:tcBorders>
              <w:top w:val="single" w:sz="4" w:color="000000"/>
              <w:left w:val="single" w:sz="4" w:color="000000"/>
              <w:bottom w:val="single" w:sz="4" w:color="000000"/>
              <w:right w:val="single" w:sz="4" w:color="000000"/>
            </w:tcBorders>
          </w:tcPr>
          <w:p>
            <w:r>
              <w:rPr>
                <w:b/>
              </w:rPr>
              <w:t>Phẫu thuật nội soi</w:t>
            </w:r>
          </w:p>
        </w:tc>
        <w:tc>
          <w:tcPr>
            <w:tcW w:type="dxa" w:w="2880"/>
            <w:tcBorders>
              <w:top w:val="single" w:sz="4" w:color="000000"/>
              <w:left w:val="single" w:sz="4" w:color="000000"/>
              <w:bottom w:val="single" w:sz="4" w:color="000000"/>
              <w:right w:val="single" w:sz="4" w:color="000000"/>
            </w:tcBorders>
          </w:tcPr>
          <w:p>
            <w:r>
              <w:t>Nang &gt; 7-8 cm, nghi ác tính, biến chứng</w:t>
            </w:r>
          </w:p>
        </w:tc>
        <w:tc>
          <w:tcPr>
            <w:tcW w:type="dxa" w:w="2880"/>
            <w:tcBorders>
              <w:top w:val="single" w:sz="4" w:color="000000"/>
              <w:left w:val="single" w:sz="4" w:color="000000"/>
              <w:bottom w:val="single" w:sz="4" w:color="000000"/>
              <w:right w:val="single" w:sz="4" w:color="000000"/>
            </w:tcBorders>
          </w:tcPr>
          <w:p>
            <w:r>
              <w:t>Hiếm, chỉ khi thật cần</w:t>
            </w:r>
          </w:p>
        </w:tc>
      </w:tr>
    </w:tbl>
    <w:p/>
    <w:p>
      <w:pPr>
        <w:pStyle w:val="Heading2"/>
      </w:pPr>
      <w:r>
        <w:t>4.1 Tiêu chuẩn SIÊU ÂM đánh giá nang</w:t>
      </w:r>
    </w:p>
    <w:p>
      <w:pPr>
        <w:pStyle w:val="ListBullet"/>
      </w:pPr>
      <w:r>
        <w:t>Nang đơn thuần (simple cyst): mỏng, trong, không vách, không solid → gần như chắc chắn lành tính</w:t>
      </w:r>
    </w:p>
    <w:p>
      <w:pPr>
        <w:pStyle w:val="ListBullet"/>
      </w:pPr>
      <w:r>
        <w:t>Nang phức tạp (complex): có vách, nhú, solid, dịch đục → nghi ngờ cao</w:t>
      </w:r>
    </w:p>
    <w:p>
      <w:pPr>
        <w:pStyle w:val="ListBullet"/>
      </w:pPr>
      <w:r>
        <w:t>Kích thước &gt; 7 cm: nguy cơ ác tính tăng (đặc biệt sau mãn kinh)</w:t>
      </w:r>
    </w:p>
    <w:p>
      <w:pPr>
        <w:pStyle w:val="ListBullet"/>
      </w:pPr>
      <w:r>
        <w:t>IOTA simple rules: tiêu chuẩn chuẩn hóa đánh giá nang buồng trứng</w:t>
      </w:r>
    </w:p>
    <w:p>
      <w:pPr>
        <w:pStyle w:val="ListBullet"/>
      </w:pPr>
      <w:r>
        <w:t>Đặc điểm nghi ngờ ác tính: nhú, vách dày, thành không đều, dịch đặc, Doppler RI &lt; 0.4</w:t>
      </w:r>
    </w:p>
    <w:p>
      <w:pPr>
        <w:pStyle w:val="Heading1"/>
      </w:pPr>
      <w:r>
        <w:t>5. Hướng dẫn hiện hành (ASRM 2023, ESHRE 2023)</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Kích thước nang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Xử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Ghi chú</w:t>
            </w:r>
          </w:p>
        </w:tc>
      </w:tr>
      <w:tr>
        <w:tc>
          <w:tcPr>
            <w:tcW w:type="dxa" w:w="2880"/>
            <w:tcBorders>
              <w:top w:val="single" w:sz="4" w:color="000000"/>
              <w:left w:val="single" w:sz="4" w:color="000000"/>
              <w:bottom w:val="single" w:sz="4" w:color="000000"/>
              <w:right w:val="single" w:sz="4" w:color="000000"/>
            </w:tcBorders>
          </w:tcPr>
          <w:p>
            <w:r>
              <w:rPr>
                <w:b/>
              </w:rPr>
              <w:t>&lt; 3 cm</w:t>
            </w:r>
          </w:p>
        </w:tc>
        <w:tc>
          <w:tcPr>
            <w:tcW w:type="dxa" w:w="2880"/>
            <w:tcBorders>
              <w:top w:val="single" w:sz="4" w:color="000000"/>
              <w:left w:val="single" w:sz="4" w:color="000000"/>
              <w:bottom w:val="single" w:sz="4" w:color="000000"/>
              <w:right w:val="single" w:sz="4" w:color="000000"/>
            </w:tcBorders>
          </w:tcPr>
          <w:p>
            <w:r>
              <w:t>KHÔNG can thiệp, tiến hành kích thích</w:t>
            </w:r>
          </w:p>
        </w:tc>
        <w:tc>
          <w:tcPr>
            <w:tcW w:type="dxa" w:w="2880"/>
            <w:tcBorders>
              <w:top w:val="single" w:sz="4" w:color="000000"/>
              <w:left w:val="single" w:sz="4" w:color="000000"/>
              <w:bottom w:val="single" w:sz="4" w:color="000000"/>
              <w:right w:val="single" w:sz="4" w:color="000000"/>
            </w:tcBorders>
          </w:tcPr>
          <w:p>
            <w:r>
              <w:t>Thường là nang cơ năng</w:t>
            </w:r>
          </w:p>
        </w:tc>
      </w:tr>
      <w:tr>
        <w:tc>
          <w:tcPr>
            <w:tcW w:type="dxa" w:w="2880"/>
            <w:tcBorders>
              <w:top w:val="single" w:sz="4" w:color="000000"/>
              <w:left w:val="single" w:sz="4" w:color="000000"/>
              <w:bottom w:val="single" w:sz="4" w:color="000000"/>
              <w:right w:val="single" w:sz="4" w:color="000000"/>
            </w:tcBorders>
          </w:tcPr>
          <w:p>
            <w:r>
              <w:rPr>
                <w:b/>
              </w:rPr>
              <w:t>3-5 cm</w:t>
            </w:r>
          </w:p>
        </w:tc>
        <w:tc>
          <w:tcPr>
            <w:tcW w:type="dxa" w:w="2880"/>
            <w:tcBorders>
              <w:top w:val="single" w:sz="4" w:color="000000"/>
              <w:left w:val="single" w:sz="4" w:color="000000"/>
              <w:bottom w:val="single" w:sz="4" w:color="000000"/>
              <w:right w:val="single" w:sz="4" w:color="000000"/>
            </w:tcBorders>
          </w:tcPr>
          <w:p>
            <w:r>
              <w:t>Cân nhắc theo dõi hoặc dùng OCP 1-2 tháng</w:t>
            </w:r>
          </w:p>
        </w:tc>
        <w:tc>
          <w:tcPr>
            <w:tcW w:type="dxa" w:w="2880"/>
            <w:tcBorders>
              <w:top w:val="single" w:sz="4" w:color="000000"/>
              <w:left w:val="single" w:sz="4" w:color="000000"/>
              <w:bottom w:val="single" w:sz="4" w:color="000000"/>
              <w:right w:val="single" w:sz="4" w:color="000000"/>
            </w:tcBorders>
          </w:tcPr>
          <w:p>
            <w:r>
              <w:t>Đánh giá đặc điểm siêu âm</w:t>
            </w:r>
          </w:p>
        </w:tc>
      </w:tr>
      <w:tr>
        <w:tc>
          <w:tcPr>
            <w:tcW w:type="dxa" w:w="2880"/>
            <w:tcBorders>
              <w:top w:val="single" w:sz="4" w:color="000000"/>
              <w:left w:val="single" w:sz="4" w:color="000000"/>
              <w:bottom w:val="single" w:sz="4" w:color="000000"/>
              <w:right w:val="single" w:sz="4" w:color="000000"/>
            </w:tcBorders>
          </w:tcPr>
          <w:p>
            <w:r>
              <w:rPr>
                <w:b/>
              </w:rPr>
              <w:t>&gt; 5 cm hoặc nghi ngờ</w:t>
            </w:r>
          </w:p>
        </w:tc>
        <w:tc>
          <w:tcPr>
            <w:tcW w:type="dxa" w:w="2880"/>
            <w:tcBorders>
              <w:top w:val="single" w:sz="4" w:color="000000"/>
              <w:left w:val="single" w:sz="4" w:color="000000"/>
              <w:bottom w:val="single" w:sz="4" w:color="000000"/>
              <w:right w:val="single" w:sz="4" w:color="000000"/>
            </w:tcBorders>
          </w:tcPr>
          <w:p>
            <w:r>
              <w:t>Đánh giá thêm, có thể hút/phẫu thuật</w:t>
            </w:r>
          </w:p>
        </w:tc>
        <w:tc>
          <w:tcPr>
            <w:tcW w:type="dxa" w:w="2880"/>
            <w:tcBorders>
              <w:top w:val="single" w:sz="4" w:color="000000"/>
              <w:left w:val="single" w:sz="4" w:color="000000"/>
              <w:bottom w:val="single" w:sz="4" w:color="000000"/>
              <w:right w:val="single" w:sz="4" w:color="000000"/>
            </w:tcBorders>
          </w:tcPr>
          <w:p>
            <w:r>
              <w:t>Loại trừ ác tính trước</w:t>
            </w:r>
          </w:p>
        </w:tc>
      </w:tr>
    </w:tbl>
    <w:p/>
    <w:p>
      <w:pPr>
        <w:pStyle w:val="Heading1"/>
      </w:pPr>
      <w:r>
        <w:t>6. Điểm cần nhớ</w:t>
      </w:r>
    </w:p>
    <w:p>
      <w:pPr>
        <w:pStyle w:val="ListBullet"/>
      </w:pPr>
      <w:r>
        <w:t>Nang tồn dư buồng trứng phổ biến trong ART, đặc biệt với GnRH agonist (8-12%)</w:t>
      </w:r>
    </w:p>
    <w:p>
      <w:pPr>
        <w:pStyle w:val="ListBullet"/>
      </w:pPr>
      <w:r>
        <w:t>Cơ chế: flare-up đầu + suppression không hoàn toàn + nang cơ năng tồn tại</w:t>
      </w:r>
    </w:p>
    <w:p>
      <w:pPr>
        <w:pStyle w:val="ListBullet"/>
      </w:pPr>
      <w:r>
        <w:t>Hút nang thường quy KHÔNG cải thiện tỷ lệ thai (Cochrane 2014)</w:t>
      </w:r>
    </w:p>
    <w:p>
      <w:pPr>
        <w:pStyle w:val="ListBullet"/>
      </w:pPr>
      <w:r>
        <w:t>Xử lý: theo dõi + OCP, hút nang chỉ khi cần, phẫu thuật khi nghi ác tính</w:t>
      </w:r>
    </w:p>
    <w:p>
      <w:pPr>
        <w:pStyle w:val="ListBullet"/>
      </w:pPr>
      <w:r>
        <w:t>Tiêu chuẩn IOTA simple rules giúp đánh giá chuẩn hóa</w:t>
      </w:r>
    </w:p>
    <w:p>
      <w:pPr>
        <w:pStyle w:val="ListBullet"/>
      </w:pPr>
      <w:r>
        <w:t>Nang buồng trứng và OHSS: cùng cơ chế với PCOS, tăng nguy cơ</w:t>
      </w:r>
    </w:p>
    <w:p>
      <w:pPr>
        <w:pStyle w:val="Heading1"/>
      </w:pPr>
      <w:r>
        <w:t>Tài liệu tham khảo</w:t>
      </w:r>
    </w:p>
    <w:p>
      <w:pPr>
        <w:pStyle w:val="ListBullet"/>
      </w:pPr>
      <w:r>
        <w:t>PMID 16253965 (Qublan 2006): Nang buồng trứng sau GnRH agonist trong IVF</w:t>
      </w:r>
    </w:p>
    <w:p>
      <w:pPr>
        <w:pStyle w:val="ListBullet"/>
      </w:pPr>
      <w:r>
        <w:t>PMID 25502626 (McDonnell 2014, Cochrane): Hút nang trước IVF</w:t>
      </w:r>
    </w:p>
    <w:p>
      <w:pPr>
        <w:pStyle w:val="ListBullet"/>
      </w:pPr>
      <w:r>
        <w:t>PMID 19657665 (Firouzabadi 2010): Hút nang với GnRH protocol</w:t>
      </w:r>
    </w:p>
    <w:p>
      <w:pPr>
        <w:pStyle w:val="ListBullet"/>
      </w:pPr>
      <w:r>
        <w:t>ASRM Practice Committee 2023: Nang buồng trứng và ART</w:t>
      </w:r>
    </w:p>
    <w:p>
      <w:pPr>
        <w:pStyle w:val="ListBullet"/>
      </w:pPr>
      <w:r>
        <w:t>ESHRE Guideline 2023: Quản lý nang trong ART</w:t>
      </w:r>
    </w:p>
    <w:p>
      <w:pPr>
        <w:jc w:val="center"/>
      </w:pPr>
      <w:r>
        <w:rPr>
          <w:i/>
          <w:color w:val="808080"/>
        </w:rPr>
        <w:t>— Hết bài học ngày 13/06/2026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