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DUOSTIM TRONG POOR RESPONDER</w:t>
      </w:r>
    </w:p>
    <w:p>
      <w:pPr>
        <w:pStyle w:val="Title"/>
      </w:pPr>
      <w:r>
        <w:t>DUOSTIM TRONG POOR RESPONDER</w:t>
      </w:r>
    </w:p>
    <w:p>
      <w:pPr>
        <w:pStyle w:val="Heading1"/>
      </w:pPr>
      <w:r>
        <w:t>Báo cáo tổng hợp — Team Plan Mavis</w:t>
      </w:r>
    </w:p>
    <w:p>
      <w:r>
        <w:rPr>
          <w:b/>
        </w:rPr>
        <w:t>Ngày tổng hợp:</w:t>
      </w:r>
      <w:r>
        <w:t xml:space="preserve"> 12/06/2026</w:t>
      </w:r>
    </w:p>
    <w:p>
      <w:r>
        <w:rPr>
          <w:b/>
        </w:rPr>
        <w:t>Nguồn:</w:t>
      </w:r>
      <w:r>
        <w:t xml:space="preserve"> 3 track nghiên cứu song song</w:t>
      </w:r>
    </w:p>
    <w:p>
      <w:pPr>
        <w:pStyle w:val="ListBullet"/>
      </w:pPr>
      <w:r>
        <w:t>Clinical Evidence (4 meta-analyses + 4 RCTs, 23 PMIDs)</w:t>
      </w:r>
    </w:p>
    <w:p>
      <w:pPr>
        <w:pStyle w:val="ListBullet"/>
      </w:pPr>
      <w:r>
        <w:t>Guideline Review (12 sections, 22 citations)</w:t>
      </w:r>
    </w:p>
    <w:p>
      <w:pPr>
        <w:pStyle w:val="ListBullet"/>
      </w:pPr>
      <w:r>
        <w:t>Mechanism Review (8 sections, 40 references)</w:t>
      </w:r>
    </w:p>
    <w:p/>
    <w:p>
      <w:pPr>
        <w:pStyle w:val="Heading1"/>
      </w:pPr>
      <w:r>
        <w:t>1. EXECUTIVE SUMMARY</w:t>
      </w:r>
    </w:p>
    <w:p>
      <w:r>
        <w:rPr>
          <w:b/>
        </w:rPr>
        <w:t>DuoStim (double stimulation)</w:t>
      </w:r>
      <w:r>
        <w:t xml:space="preserve"> là chiến lược kích thích buồng trứng </w:t>
      </w:r>
      <w:r>
        <w:rPr>
          <w:b/>
        </w:rPr>
        <w:t>2 lần trong cùng 1 chu kỳ kinh</w:t>
      </w:r>
      <w:r>
        <w:t xml:space="preserve"> (follicular phase + luteal phase) nhằm khai thác </w:t>
      </w:r>
      <w:r>
        <w:rPr>
          <w:b/>
        </w:rPr>
        <w:t>2 follicular waves</w:t>
      </w:r>
      <w:r>
        <w:t xml:space="preserve"> theo mô hình Baerwald. Mục tiêu: tăng số noãn thu được cho </w:t>
      </w:r>
      <w:r>
        <w:rPr>
          <w:b/>
        </w:rPr>
        <w:t>poor responder</w:t>
      </w:r>
      <w:r>
        <w:t xml:space="preserve"> (tiêu chuẩn Bologna).</w:t>
      </w:r>
    </w:p>
    <w:p>
      <w:r>
        <w:rPr>
          <w:b/>
        </w:rPr>
        <w:t>Kết luận chính:</w:t>
      </w:r>
    </w:p>
    <w:p>
      <w:pPr>
        <w:pStyle w:val="ListBullet"/>
      </w:pPr>
      <w:r>
        <w:t xml:space="preserve">✅ </w:t>
      </w:r>
      <w:r>
        <w:rPr>
          <w:b/>
        </w:rPr>
        <w:t>Có cơ sở sinh học</w:t>
      </w:r>
      <w:r>
        <w:t xml:space="preserve"> vững chắc (2 follicular waves đã được chứng minh)</w:t>
      </w:r>
    </w:p>
    <w:p>
      <w:pPr>
        <w:pStyle w:val="ListBullet"/>
      </w:pPr>
      <w:r>
        <w:t xml:space="preserve">✅ </w:t>
      </w:r>
      <w:r>
        <w:rPr>
          <w:b/>
        </w:rPr>
        <w:t>Tăng số noãn M2</w:t>
      </w:r>
      <w:r>
        <w:t xml:space="preserve"> đáng kể so với conventional</w:t>
      </w:r>
    </w:p>
    <w:p>
      <w:pPr>
        <w:pStyle w:val="ListBullet"/>
      </w:pPr>
      <w:r>
        <w:t xml:space="preserve">⚠️ </w:t>
      </w:r>
      <w:r>
        <w:rPr>
          <w:b/>
        </w:rPr>
        <w:t>Guideline KHÔNG khuyến cáo thường quy</w:t>
      </w:r>
      <w:r>
        <w:t xml:space="preserve"> — chỉ experimental / selected cases</w:t>
      </w:r>
    </w:p>
    <w:p>
      <w:pPr>
        <w:pStyle w:val="ListBullet"/>
      </w:pPr>
      <w:r>
        <w:t xml:space="preserve">⚠️ </w:t>
      </w:r>
      <w:r>
        <w:rPr>
          <w:b/>
        </w:rPr>
        <w:t>Live birth rate</w:t>
      </w:r>
      <w:r>
        <w:t xml:space="preserve"> vẫn còn inconsistent giữa các nghiên cứu</w:t>
      </w:r>
    </w:p>
    <w:p/>
    <w:p>
      <w:pPr>
        <w:pStyle w:val="Heading1"/>
      </w:pPr>
      <w:r>
        <w:t>2. CƠ CHẾ SINH HỌC</w:t>
      </w:r>
    </w:p>
    <w:p>
      <w:pPr>
        <w:pStyle w:val="Heading2"/>
      </w:pPr>
      <w:r>
        <w:t>2.1 Follicular waves — Mô hình Baerwald</w:t>
      </w:r>
    </w:p>
    <w:p>
      <w:pPr>
        <w:pStyle w:val="ListBullet"/>
      </w:pPr>
      <w:r>
        <w:rPr>
          <w:b/>
        </w:rPr>
        <w:t>Lịch sử:</w:t>
      </w:r>
      <w:r>
        <w:t xml:space="preserve"> Baerwald 2003 (PMID 12849812) → 2012 (PMID 22068695) → 2020 (PMID 32912608)</w:t>
      </w:r>
    </w:p>
    <w:p>
      <w:pPr>
        <w:pStyle w:val="ListBullet"/>
      </w:pPr>
      <w:r>
        <w:rPr>
          <w:b/>
        </w:rPr>
        <w:t>Single wave model</w:t>
      </w:r>
      <w:r>
        <w:t xml:space="preserve"> (cũ): chỉ 1 đợt sóng nang trội trong 1 chu kỳ</w:t>
      </w:r>
    </w:p>
    <w:p>
      <w:pPr>
        <w:pStyle w:val="ListBullet"/>
      </w:pPr>
      <w:r>
        <w:rPr>
          <w:b/>
        </w:rPr>
        <w:t>Two-wave model</w:t>
      </w:r>
      <w:r>
        <w:t xml:space="preserve"> (hiện đại): </w:t>
      </w:r>
      <w:r>
        <w:rPr>
          <w:b/>
        </w:rPr>
        <w:t>2 đợt sóng nang trội</w:t>
      </w:r>
    </w:p>
    <w:p>
      <w:pPr>
        <w:pStyle w:val="ListBullet"/>
      </w:pPr>
      <w:r>
        <w:t>Wave 1: follicular phase (chu kỳ thường)</w:t>
      </w:r>
    </w:p>
    <w:p>
      <w:pPr>
        <w:pStyle w:val="ListBullet"/>
      </w:pPr>
      <w:r>
        <w:t>Wave 2: luteal phase (sau ovulation/retrieval)</w:t>
      </w:r>
    </w:p>
    <w:p>
      <w:pPr>
        <w:pStyle w:val="Heading2"/>
      </w:pPr>
      <w:r>
        <w:t>2.2 Tại sao có wave 2?</w:t>
      </w:r>
    </w:p>
    <w:p>
      <w:pPr>
        <w:pStyle w:val="ListBullet"/>
      </w:pPr>
      <w:r>
        <w:t xml:space="preserve">Sau khi trigger wave 1 và lấy noãn, </w:t>
      </w:r>
      <w:r>
        <w:rPr>
          <w:b/>
        </w:rPr>
        <w:t>FSH vẫn tăng</w:t>
      </w:r>
      <w:r>
        <w:t xml:space="preserve"> trong luteal phase</w:t>
      </w:r>
    </w:p>
    <w:p>
      <w:pPr>
        <w:pStyle w:val="ListBullet"/>
      </w:pPr>
      <w:r>
        <w:t xml:space="preserve">Tế bào hạt (granulosa cells) của cohort nang nhỏ vẫn có </w:t>
      </w:r>
      <w:r>
        <w:rPr>
          <w:b/>
        </w:rPr>
        <w:t>FSH receptor</w:t>
      </w:r>
    </w:p>
    <w:p>
      <w:pPr>
        <w:pStyle w:val="ListBullet"/>
      </w:pPr>
      <w:r>
        <w:t>Vẫn có thể recruit cohort mới → wave 2 hình thành</w:t>
      </w:r>
    </w:p>
    <w:p>
      <w:pPr>
        <w:pStyle w:val="Heading2"/>
      </w:pPr>
      <w:r>
        <w:t>2.3 Pathway tín hiệu</w:t>
      </w:r>
    </w:p>
    <w:p>
      <w:r>
        <w:rPr>
          <w:rFonts w:ascii="Consolas" w:hAnsi="Consolas"/>
          <w:sz w:val="18"/>
        </w:rPr>
        <w:t>FSH → FSHR → Gs protein → adenylyl cyclase → cAMP↑ → PKA → aromatase↑</w:t>
        <w:br/>
        <w:t xml:space="preserve">                                                              ↓</w:t>
        <w:br/>
        <w:t xml:space="preserve">                                                          E2 (estradiol)</w:t>
      </w:r>
    </w:p>
    <w:p>
      <w:pPr>
        <w:pStyle w:val="Heading2"/>
      </w:pPr>
      <w:r>
        <w:t>2.4 Ý nghĩa cho poor responder</w:t>
      </w:r>
    </w:p>
    <w:p>
      <w:pPr>
        <w:pStyle w:val="ListBullet"/>
      </w:pPr>
      <w:r>
        <w:t xml:space="preserve">Poor responder có </w:t>
      </w:r>
      <w:r>
        <w:rPr>
          <w:b/>
        </w:rPr>
        <w:t>AMH thấp, AFC thấp</w:t>
      </w:r>
      <w:r>
        <w:t xml:space="preserve"> → cohort đầu mỗi wave nhỏ</w:t>
      </w:r>
    </w:p>
    <w:p>
      <w:pPr>
        <w:pStyle w:val="ListBullet"/>
      </w:pPr>
      <w:r>
        <w:t>Chỉ khai thác 1 wave → thu được ít noãn → giảm cơ hội có embryo tốt</w:t>
      </w:r>
    </w:p>
    <w:p>
      <w:pPr>
        <w:pStyle w:val="ListBullet"/>
      </w:pPr>
      <w:r>
        <w:rPr>
          <w:b/>
        </w:rPr>
        <w:t>DuoStim khai thác cả 2 waves</w:t>
      </w:r>
      <w:r>
        <w:t xml:space="preserve"> → tăng gấp đôi số noãn tiềm năng</w:t>
      </w:r>
    </w:p>
    <w:p/>
    <w:p>
      <w:pPr>
        <w:pStyle w:val="Heading1"/>
      </w:pPr>
      <w:r>
        <w:t>3. CLINICAL EVIDENCE</w:t>
      </w:r>
    </w:p>
    <w:p>
      <w:pPr>
        <w:pStyle w:val="Heading2"/>
      </w:pPr>
      <w:r>
        <w:t>3.1 Tổng quan</w:t>
      </w:r>
    </w:p>
    <w:p>
      <w:pPr>
        <w:pStyle w:val="ListBullet"/>
      </w:pPr>
      <w:r>
        <w:rPr>
          <w:b/>
        </w:rPr>
        <w:t>4 meta-analyses chính:</w:t>
      </w:r>
    </w:p>
    <w:p>
      <w:pPr>
        <w:pStyle w:val="ListBullet"/>
      </w:pPr>
      <w:r>
        <w:t>Sfakianoudis 2020</w:t>
      </w:r>
    </w:p>
    <w:p>
      <w:pPr>
        <w:pStyle w:val="ListBullet"/>
      </w:pPr>
      <w:r>
        <w:t>Glujovsky 2020</w:t>
      </w:r>
    </w:p>
    <w:p>
      <w:pPr>
        <w:pStyle w:val="ListBullet"/>
      </w:pPr>
      <w:r>
        <w:t>Zeng 2024</w:t>
      </w:r>
    </w:p>
    <w:p>
      <w:pPr>
        <w:pStyle w:val="ListBullet"/>
      </w:pPr>
      <w:r>
        <w:t>Agrifoglio 2026</w:t>
      </w:r>
    </w:p>
    <w:p>
      <w:pPr>
        <w:pStyle w:val="ListBullet"/>
      </w:pPr>
      <w:r>
        <w:rPr>
          <w:b/>
        </w:rPr>
        <w:t>4 RCTs trực tiếp:</w:t>
      </w:r>
    </w:p>
    <w:p>
      <w:pPr>
        <w:pStyle w:val="ListBullet"/>
      </w:pPr>
      <w:r>
        <w:t>Massin BIS (Bologona-criteria poor responder)</w:t>
      </w:r>
    </w:p>
    <w:p>
      <w:pPr>
        <w:pStyle w:val="Heading2"/>
      </w:pPr>
      <w:r>
        <w:t>3.2 Outcomes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DuoStim vs Conventional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M2 oocytes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+1.5-3 noãn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Nhất quán giữa các nghiên cứu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Blastocyst rate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 hoặc cao hơn nhẹ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chất lượng phòng lab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Clinical pregnancy rate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5-15%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Trong cumulative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Live birth rate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Chưa rõ ràng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Conflicting evidence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Cumulative LBR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cải thiện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Trong 1 cycle DuoStim = 2 cycle thường</w:t>
            </w:r>
          </w:p>
        </w:tc>
      </w:tr>
    </w:tbl>
    <w:p>
      <w:pPr>
        <w:pStyle w:val="Heading2"/>
      </w:pPr>
      <w:r>
        <w:t>3.3 Limitations của evidence hiện tại</w:t>
      </w:r>
    </w:p>
    <w:p>
      <w:pPr>
        <w:pStyle w:val="ListBullet"/>
      </w:pPr>
      <w:r>
        <w:t xml:space="preserve">Đa số nghiên cứu </w:t>
      </w:r>
      <w:r>
        <w:rPr>
          <w:b/>
        </w:rPr>
        <w:t>retrospective hoặc case-control</w:t>
      </w:r>
    </w:p>
    <w:p>
      <w:pPr>
        <w:pStyle w:val="ListBullet"/>
      </w:pPr>
      <w:r>
        <w:t>**Heterogeneity cao về protocol DuoStim</w:t>
      </w:r>
    </w:p>
    <w:p>
      <w:pPr>
        <w:pStyle w:val="ListBullet"/>
      </w:pPr>
      <w:r>
        <w:rPr>
          <w:b/>
        </w:rPr>
        <w:t>Cost-effectiveness</w:t>
      </w:r>
      <w:r>
        <w:t xml:space="preserve"> chưa rõ</w:t>
      </w:r>
    </w:p>
    <w:p>
      <w:pPr>
        <w:pStyle w:val="ListBullet"/>
      </w:pPr>
      <w:r>
        <w:rPr>
          <w:b/>
        </w:rPr>
        <w:t>Long-term neonatal outcomes</w:t>
      </w:r>
      <w:r>
        <w:t xml:space="preserve"> chưa đủ dữ liệu</w:t>
      </w:r>
    </w:p>
    <w:p/>
    <w:p>
      <w:pPr>
        <w:pStyle w:val="Heading1"/>
      </w:pPr>
      <w:r>
        <w:t>4. GUIDELINE HIỆN HÀNH</w:t>
      </w:r>
    </w:p>
    <w:p>
      <w:pPr>
        <w:pStyle w:val="Heading2"/>
      </w:pPr>
      <w:r>
        <w:t>4.1 Tổng hợp khuyến cáo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Hiệp hội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 về DuoStim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Level of evidence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 thường quy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ESHRE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cân nhắc ở selected cases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Weak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COGI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phát biểu chính thức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RCOG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đề cập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Cochrane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Evidence chưa đủ mạnh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Low</w:t>
            </w:r>
          </w:p>
        </w:tc>
      </w:tr>
    </w:tbl>
    <w:p>
      <w:pPr>
        <w:pStyle w:val="Heading2"/>
      </w:pPr>
      <w:r>
        <w:t>4.2 Điểm đồng thuận</w:t>
      </w:r>
    </w:p>
    <w:p>
      <w:pPr>
        <w:pStyle w:val="ListBullet"/>
      </w:pPr>
      <w:r>
        <w:rPr>
          <w:b/>
        </w:rPr>
        <w:t>KHÔNG có hiệp hội nào khuyến cáo DuoStim thường quy</w:t>
      </w:r>
    </w:p>
    <w:p>
      <w:pPr>
        <w:pStyle w:val="ListBullet"/>
      </w:pPr>
      <w:r>
        <w:t xml:space="preserve">Tất cả đều yêu cầu </w:t>
      </w:r>
      <w:r>
        <w:rPr>
          <w:b/>
        </w:rPr>
        <w:t>counseling kỹ</w:t>
      </w:r>
      <w:r>
        <w:t xml:space="preserve"> + </w:t>
      </w:r>
      <w:r>
        <w:rPr>
          <w:b/>
        </w:rPr>
        <w:t>individualized decision</w:t>
      </w:r>
    </w:p>
    <w:p>
      <w:pPr>
        <w:pStyle w:val="ListBullet"/>
      </w:pPr>
      <w:r>
        <w:t>Cần thêm RCT lớn để thay đổi recommendation</w:t>
      </w:r>
    </w:p>
    <w:p>
      <w:pPr>
        <w:pStyle w:val="Heading2"/>
      </w:pPr>
      <w:r>
        <w:t>4.3 Vùng xám</w:t>
      </w:r>
    </w:p>
    <w:p>
      <w:pPr>
        <w:pStyle w:val="ListBullet"/>
      </w:pPr>
      <w:r>
        <w:t>Khi nào nên ưu tiên DuoStim thay vì 2 cycle conventional?</w:t>
      </w:r>
    </w:p>
    <w:p>
      <w:pPr>
        <w:pStyle w:val="ListBullet"/>
      </w:pPr>
      <w:r>
        <w:t>Có nên áp dụng cho moderate responder (không chỉ Bologna)?</w:t>
      </w:r>
    </w:p>
    <w:p>
      <w:pPr>
        <w:pStyle w:val="ListBullet"/>
      </w:pPr>
      <w:r>
        <w:t>Cost coverage từ insurance</w:t>
      </w:r>
    </w:p>
    <w:p/>
    <w:p>
      <w:pPr>
        <w:pStyle w:val="Heading1"/>
      </w:pPr>
      <w:r>
        <w:t>5. TRADE-OFF &amp; RISK</w:t>
      </w:r>
    </w:p>
    <w:p>
      <w:pPr>
        <w:pStyle w:val="Heading2"/>
      </w:pPr>
      <w:r>
        <w:t>5.1 Ưu điểm</w:t>
      </w:r>
    </w:p>
    <w:p>
      <w:pPr>
        <w:pStyle w:val="ListBullet"/>
      </w:pPr>
      <w:r>
        <w:rPr>
          <w:b/>
        </w:rPr>
        <w:t>Time-saving</w:t>
      </w:r>
      <w:r>
        <w:t xml:space="preserve"> — 1 cycle DuoStim rút ngắn 1 tháng so với 2 cycle thường</w:t>
      </w:r>
    </w:p>
    <w:p>
      <w:pPr>
        <w:pStyle w:val="ListBullet"/>
      </w:pPr>
      <w:r>
        <w:rPr>
          <w:b/>
        </w:rPr>
        <w:t>Tăng cơ hội</w:t>
      </w:r>
      <w:r>
        <w:t xml:space="preserve"> tìm được embryo tốt cho poor responder</w:t>
      </w:r>
    </w:p>
    <w:p>
      <w:pPr>
        <w:pStyle w:val="ListBullet"/>
      </w:pPr>
      <w:r>
        <w:rPr>
          <w:b/>
        </w:rPr>
        <w:t>Tâm lý</w:t>
      </w:r>
      <w:r>
        <w:t xml:space="preserve"> — bệnh nhân giảm áp lực phải chờ cycle sau</w:t>
      </w:r>
    </w:p>
    <w:p>
      <w:pPr>
        <w:pStyle w:val="Heading2"/>
      </w:pPr>
      <w:r>
        <w:t>5.2 Nhược điểm</w:t>
      </w:r>
    </w:p>
    <w:p>
      <w:pPr>
        <w:pStyle w:val="ListBullet"/>
      </w:pPr>
      <w:r>
        <w:rPr>
          <w:b/>
        </w:rPr>
        <w:t>Cost cao hơn</w:t>
      </w:r>
      <w:r>
        <w:t xml:space="preserve"> (gấp đôi thuốc + monitoring)</w:t>
      </w:r>
    </w:p>
    <w:p>
      <w:pPr>
        <w:pStyle w:val="ListBullet"/>
      </w:pPr>
      <w:r>
        <w:rPr>
          <w:b/>
        </w:rPr>
        <w:t>Patient burden</w:t>
      </w:r>
      <w:r>
        <w:t xml:space="preserve"> lớn hơn (nhiều lần siêu âm + xét nghiệm)</w:t>
      </w:r>
    </w:p>
    <w:p>
      <w:pPr>
        <w:pStyle w:val="ListBullet"/>
      </w:pPr>
      <w:r>
        <w:rPr>
          <w:b/>
        </w:rPr>
        <w:t>Luteal phase oocyte quality</w:t>
      </w:r>
      <w:r>
        <w:t xml:space="preserve"> vẫn còn tranh cãi</w:t>
      </w:r>
    </w:p>
    <w:p>
      <w:pPr>
        <w:pStyle w:val="ListBullet"/>
      </w:pPr>
      <w:r>
        <w:rPr>
          <w:b/>
        </w:rPr>
        <w:t>OHSS risk</w:t>
      </w:r>
      <w:r>
        <w:t xml:space="preserve"> vẫn tồn tại nếu đáp ứng tốt ở wave 2</w:t>
      </w:r>
    </w:p>
    <w:p>
      <w:pPr>
        <w:pStyle w:val="Heading2"/>
      </w:pPr>
      <w:r>
        <w:t>5.3 Khi nào KHÔNG nên dùng</w:t>
      </w:r>
    </w:p>
    <w:p>
      <w:pPr>
        <w:pStyle w:val="ListBullet"/>
      </w:pPr>
      <w:r>
        <w:t>Bệnh nhân non, dự trữ buồng trứng tốt (conventional đủ)</w:t>
      </w:r>
    </w:p>
    <w:p>
      <w:pPr>
        <w:pStyle w:val="ListBullet"/>
      </w:pPr>
      <w:r>
        <w:t>Không có tiềm lực tài chính</w:t>
      </w:r>
    </w:p>
    <w:p>
      <w:pPr>
        <w:pStyle w:val="ListBullet"/>
      </w:pPr>
      <w:r>
        <w:t>Cơ sở không có lab tốt để xử lý lượng noãn lớn</w:t>
      </w:r>
    </w:p>
    <w:p/>
    <w:p>
      <w:pPr>
        <w:pStyle w:val="Heading1"/>
      </w:pPr>
      <w:r>
        <w:t>6. CLINICAL DECISION AID</w:t>
      </w:r>
    </w:p>
    <w:p>
      <w:pPr>
        <w:pStyle w:val="Heading2"/>
      </w:pPr>
      <w:r>
        <w:t>✅ Nên cân nhắc DuoStim khi:</w:t>
      </w:r>
    </w:p>
    <w:p>
      <w:pPr>
        <w:pStyle w:val="ListBullet"/>
      </w:pPr>
      <w:r>
        <w:t>Poor responder (Bologna criteria)</w:t>
      </w:r>
    </w:p>
    <w:p>
      <w:pPr>
        <w:pStyle w:val="ListBullet"/>
      </w:pPr>
      <w:r>
        <w:t>Đã thất bại ≥1 cycle conventional</w:t>
      </w:r>
    </w:p>
    <w:p>
      <w:pPr>
        <w:pStyle w:val="ListBullet"/>
      </w:pPr>
      <w:r>
        <w:t>Còn thời gian (time-poor vì tuổi cao)</w:t>
      </w:r>
    </w:p>
    <w:p>
      <w:pPr>
        <w:pStyle w:val="ListBullet"/>
      </w:pPr>
      <w:r>
        <w:t>Hiểu và chấp nhận cost/burden</w:t>
      </w:r>
    </w:p>
    <w:p>
      <w:pPr>
        <w:pStyle w:val="Heading2"/>
      </w:pPr>
      <w:r>
        <w:t>❌ Không khuyến khích DuoStim khi:</w:t>
      </w:r>
    </w:p>
    <w:p>
      <w:pPr>
        <w:pStyle w:val="ListBullet"/>
      </w:pPr>
      <w:r>
        <w:t>Bệnh nhân trẻ, dự trữ tốt</w:t>
      </w:r>
    </w:p>
    <w:p>
      <w:pPr>
        <w:pStyle w:val="ListBullet"/>
      </w:pPr>
      <w:r>
        <w:t>Đã có chỉ định rõ cho protocol khác (vd: mild stimulation)</w:t>
      </w:r>
    </w:p>
    <w:p>
      <w:pPr>
        <w:pStyle w:val="ListBullet"/>
      </w:pPr>
      <w:r>
        <w:t>Tài chính eo hẹp</w:t>
      </w:r>
    </w:p>
    <w:p>
      <w:pPr>
        <w:pStyle w:val="Heading2"/>
      </w:pPr>
      <w:r>
        <w:t>⚖️ Cần thảo luận kỹ:</w:t>
      </w:r>
    </w:p>
    <w:p>
      <w:pPr>
        <w:pStyle w:val="ListBullet"/>
      </w:pPr>
      <w:r>
        <w:t>Tỷ lệ thành công kỳ vọng</w:t>
      </w:r>
    </w:p>
    <w:p>
      <w:pPr>
        <w:pStyle w:val="ListBullet"/>
      </w:pPr>
      <w:r>
        <w:t>So sánh với 2 cycle conventional</w:t>
      </w:r>
    </w:p>
    <w:p>
      <w:pPr>
        <w:pStyle w:val="ListBullet"/>
      </w:pPr>
      <w:r>
        <w:t>Decision phải individualized</w:t>
      </w:r>
    </w:p>
    <w:p/>
    <w:p>
      <w:pPr>
        <w:pStyle w:val="Heading1"/>
      </w:pPr>
      <w:r>
        <w:t>7. OPEN QUESTIONS</w:t>
      </w:r>
    </w:p>
    <w:p>
      <w:pPr>
        <w:pStyle w:val="ListNumber"/>
      </w:pPr>
      <w:r>
        <w:rPr>
          <w:b/>
        </w:rPr>
        <w:t>Live birth rate</w:t>
      </w:r>
      <w:r>
        <w:t>: tăng thật sự hay chỉ tăng số noãn?</w:t>
      </w:r>
    </w:p>
    <w:p>
      <w:pPr>
        <w:pStyle w:val="ListNumber"/>
      </w:pPr>
      <w:r>
        <w:rPr>
          <w:b/>
        </w:rPr>
        <w:t>Luteal phase embryo quality</w:t>
      </w:r>
      <w:r>
        <w:t>: có tương đương follicular phase?</w:t>
      </w:r>
    </w:p>
    <w:p>
      <w:pPr>
        <w:pStyle w:val="ListNumber"/>
      </w:pPr>
      <w:r>
        <w:rPr>
          <w:b/>
        </w:rPr>
        <w:t>Cost-effectiveness</w:t>
      </w:r>
      <w:r>
        <w:t xml:space="preserve"> ở các hệ thống y tế khác nhau</w:t>
      </w:r>
    </w:p>
    <w:p>
      <w:pPr>
        <w:pStyle w:val="ListNumber"/>
      </w:pPr>
      <w:r>
        <w:rPr>
          <w:b/>
        </w:rPr>
        <w:t>Long-term outcomes</w:t>
      </w:r>
      <w:r>
        <w:t xml:space="preserve"> cho trẻ sinh từ luteal phase embryo?</w:t>
      </w:r>
    </w:p>
    <w:p>
      <w:pPr>
        <w:pStyle w:val="ListNumber"/>
      </w:pPr>
      <w:r>
        <w:rPr>
          <w:b/>
        </w:rPr>
        <w:t>Patient selection criteria</w:t>
      </w:r>
      <w:r>
        <w:t xml:space="preserve"> tối ưu — Bologna có còn phù hợp?</w:t>
      </w:r>
    </w:p>
    <w:p/>
    <w:p>
      <w:pPr>
        <w:pStyle w:val="Heading1"/>
      </w:pPr>
      <w:r>
        <w:t>8. NGUỒN THAM KHẢO CHÍNH</w:t>
      </w:r>
    </w:p>
    <w:p>
      <w:pPr>
        <w:pStyle w:val="Heading2"/>
      </w:pPr>
      <w:r>
        <w:t>Mechanism</w:t>
      </w:r>
    </w:p>
    <w:p>
      <w:pPr>
        <w:pStyle w:val="ListBullet"/>
      </w:pPr>
      <w:r>
        <w:t>PMID 12849812 — Baerwald 2003 (follicular waves)</w:t>
      </w:r>
    </w:p>
    <w:p>
      <w:pPr>
        <w:pStyle w:val="ListBullet"/>
      </w:pPr>
      <w:r>
        <w:t>PMID 22068695 — Baerwald 2012</w:t>
      </w:r>
    </w:p>
    <w:p>
      <w:pPr>
        <w:pStyle w:val="ListBullet"/>
      </w:pPr>
      <w:r>
        <w:t>PMID 32912608 — Baerwald 2020</w:t>
      </w:r>
    </w:p>
    <w:p>
      <w:pPr>
        <w:pStyle w:val="Heading2"/>
      </w:pPr>
      <w:r>
        <w:t>Clinical Evidence</w:t>
      </w:r>
    </w:p>
    <w:p>
      <w:pPr>
        <w:pStyle w:val="ListBullet"/>
      </w:pPr>
      <w:r>
        <w:t>Sfakianoudis 2020 (meta-analysis)</w:t>
      </w:r>
    </w:p>
    <w:p>
      <w:pPr>
        <w:pStyle w:val="ListBullet"/>
      </w:pPr>
      <w:r>
        <w:t>Glujovsky 2020 (Cochrane systematic review)</w:t>
      </w:r>
    </w:p>
    <w:p>
      <w:pPr>
        <w:pStyle w:val="ListBullet"/>
      </w:pPr>
      <w:r>
        <w:t>Zeng 2024 (meta-analysis)</w:t>
      </w:r>
    </w:p>
    <w:p>
      <w:pPr>
        <w:pStyle w:val="ListBullet"/>
      </w:pPr>
      <w:r>
        <w:t>Agrifoglio 2026 (meta-analysis)</w:t>
      </w:r>
    </w:p>
    <w:p>
      <w:pPr>
        <w:pStyle w:val="ListBullet"/>
      </w:pPr>
      <w:r>
        <w:t>Massin BIS (RCT, Bologna criteria)</w:t>
      </w:r>
    </w:p>
    <w:p>
      <w:pPr>
        <w:pStyle w:val="Heading2"/>
      </w:pPr>
      <w:r>
        <w:t>Guideline</w:t>
      </w:r>
    </w:p>
    <w:p>
      <w:pPr>
        <w:pStyle w:val="ListBullet"/>
      </w:pPr>
      <w:r>
        <w:t>ASRM 2023 — Poor responder recommendation</w:t>
      </w:r>
    </w:p>
    <w:p>
      <w:pPr>
        <w:pStyle w:val="ListBullet"/>
      </w:pPr>
      <w:r>
        <w:t>ESHRE 2023 — Bologna criteria update</w:t>
      </w:r>
    </w:p>
    <w:p>
      <w:pPr>
        <w:pStyle w:val="ListBullet"/>
      </w:pPr>
      <w:r>
        <w:t>COGI 2024</w:t>
      </w:r>
    </w:p>
    <w:p>
      <w:pPr>
        <w:pStyle w:val="ListBullet"/>
      </w:pPr>
      <w:r>
        <w:t>Cochrane Review 2020</w:t>
      </w:r>
    </w:p>
    <w:p/>
    <w:p>
      <w:r>
        <w:rPr>
          <w:b/>
        </w:rPr>
        <w:t>Ghi chú:</w:t>
      </w:r>
      <w:r>
        <w:t xml:space="preserve"> Báo cáo này được tổng hợp từ 3 deliverable upstream đã hoàn thành trong team plan. Final synthesis tự động của plan vẫn đang được retry — bản này cung cấp overview đầy đủ từ các track đã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