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OHSS: Phòng ngừa &amp; Xử trí</w:t>
      </w:r>
    </w:p>
    <w:p>
      <w:pPr>
        <w:pStyle w:val="Title"/>
      </w:pPr>
      <w:r>
        <w:t>OHSS: Phòng ngừa &amp; Xử trí</w:t>
      </w:r>
    </w:p>
    <w:p>
      <w:pPr>
        <w:pStyle w:val="Heading1"/>
      </w:pPr>
      <w:r>
        <w:t>Ovarian Hyperstimulation Syndrome — Prevention &amp; Management</w:t>
      </w:r>
    </w:p>
    <w:p>
      <w:r>
        <w:rPr>
          <w:b/>
        </w:rPr>
        <w:t>Ngày:</w:t>
      </w:r>
      <w:r>
        <w:t xml:space="preserve"> 14/06/2026 | </w:t>
      </w:r>
      <w:r>
        <w:rPr>
          <w:b/>
        </w:rPr>
        <w:t>Chủ đề:</w:t>
      </w:r>
      <w:r>
        <w:t xml:space="preserve"> ART Complications | </w:t>
      </w:r>
      <w:r>
        <w:rPr>
          <w:b/>
        </w:rPr>
        <w:t>Mức độ:</w:t>
      </w:r>
      <w:r>
        <w:t xml:space="preserve"> Chuyên sâu</w:t>
      </w:r>
    </w:p>
    <w:p/>
    <w:p>
      <w:pPr>
        <w:pStyle w:val="Heading1"/>
      </w:pPr>
      <w:r>
        <w:t>TÓM TẮT (Telegram)</w:t>
      </w:r>
    </w:p>
    <w:p>
      <w:r>
        <w:rPr>
          <w:b/>
        </w:rPr>
        <w:t>OHSS sau kích buồng trứng — Phòng ngừa theo ASRM 2024</w:t>
      </w:r>
    </w:p>
    <w:p>
      <w:r>
        <w:t>OHSS là biến chứng iatrogenic nghiêm trọng của ART. Cơ chế cốt lõi: VEGF → tăng tính thấm mao mạch → dịch di chuyển ngoài mạch.</w:t>
      </w:r>
    </w:p>
    <w:p>
      <w:r>
        <w:t>**Nguy cơ cao PCOS, AMH &gt;3.0 ng/mL, AFC &gt;20, tiền sử OHSS, số noãn ≥15/chu kỳ.</w:t>
      </w:r>
    </w:p>
    <w:p>
      <w:r>
        <w:rPr>
          <w:b/>
        </w:rPr>
        <w:t>Phòng ngừa chính (ASRM 2024):</w:t>
      </w:r>
    </w:p>
    <w:p>
      <w:pPr>
        <w:pStyle w:val="ListBullet"/>
      </w:pPr>
      <w:r>
        <w:t>GnRH antagonist thay vì agonist cho PCOS/nguy cơ cao</w:t>
      </w:r>
    </w:p>
    <w:p>
      <w:pPr>
        <w:pStyle w:val="ListBullet"/>
      </w:pPr>
      <w:r>
        <w:t>Trigger bằng GnRH agonist (0.1mg triptorelin) thay vì hCG 10,000 IU → giảm OHSS ~70%</w:t>
      </w:r>
    </w:p>
    <w:p>
      <w:pPr>
        <w:pStyle w:val="ListBullet"/>
      </w:pPr>
      <w:r>
        <w:t>Freeze-all embryo (không chuyển phôi tươi) khi nguy cơ cao</w:t>
      </w:r>
    </w:p>
    <w:p>
      <w:pPr>
        <w:pStyle w:val="ListBullet"/>
      </w:pPr>
      <w:r>
        <w:t>Không dùng metformin đơn độc để phòng OHSS (ASRM 2024)</w:t>
      </w:r>
    </w:p>
    <w:p>
      <w:r>
        <w:rPr>
          <w:b/>
        </w:rPr>
        <w:t>Xử trí:</w:t>
      </w:r>
      <w:r>
        <w:t xml:space="preserve"> Hồi sức đậm đặc, cân bằng điện giải, theo dõi bụng/phổi, chọc hút dịch khi cần. Thuốc: cabergoline 0.5mg/ngày × 8 ngày; hydroxyethyl starch; LMWH nếu có huyết khối.</w:t>
      </w:r>
    </w:p>
    <w:p/>
    <w:p>
      <w:pPr>
        <w:pStyle w:val="Heading1"/>
      </w:pPr>
      <w:r>
        <w:t>1. SINH LÍ BỆNH HỌC (Pathophysiology)</w:t>
      </w:r>
    </w:p>
    <w:p>
      <w:pPr>
        <w:pStyle w:val="Heading2"/>
      </w:pPr>
      <w:r>
        <w:t>1.1 Cơ chế trung tâm</w:t>
      </w:r>
    </w:p>
    <w:p>
      <w:r>
        <w:rPr>
          <w:rFonts w:ascii="Consolas" w:hAnsi="Consolas"/>
          <w:sz w:val="18"/>
        </w:rPr>
        <w:t>hCG (trigger/exogenous)</w:t>
        <w:br/>
        <w:t xml:space="preserve">        ↓</w:t>
        <w:br/>
        <w:t>Kích hoạtLH/hCG receptor trên tế bào hạt (granulosa cells)</w:t>
        <w:br/>
        <w:t xml:space="preserve">        ↓</w:t>
        <w:br/>
        <w:t>Tăng tiết VEGF-A (vascular endothelial growth factor)</w:t>
        <w:br/>
        <w:t xml:space="preserve">        ↓</w:t>
        <w:br/>
        <w:t>VEGF gắn vào VEGFR-2 trên tế bào nội mô mạch máu</w:t>
        <w:br/>
        <w:t xml:space="preserve">        ↓</w:t>
        <w:br/>
        <w:t xml:space="preserve"> Phosphorylation của Src → actin stress fibers</w:t>
        <w:br/>
        <w:t xml:space="preserve">        ↓</w:t>
        <w:br/>
        <w:t>Tăng tính thấm mao mạch (capillary permeability)</w:t>
        <w:br/>
        <w:t xml:space="preserve">        ↓</w:t>
        <w:br/>
        <w:t>Dịch ngoại bào thoát vào khoang bụng, khoang màng phổi</w:t>
        <w:br/>
        <w:t xml:space="preserve">        ↓</w:t>
        <w:br/>
        <w:t>Hậu quả: ascites, pleural effusion, hypovolemia,</w:t>
        <w:br/>
        <w:t xml:space="preserve">         hemoconcentration, electrolyte disturbance</w:t>
      </w:r>
    </w:p>
    <w:p>
      <w:pPr>
        <w:pStyle w:val="Heading2"/>
      </w:pPr>
      <w:r>
        <w:t>1.2 Con đường phụ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Vai trò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VEGF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tâm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Cường độ phản ứng OHSS tương quan với nồng độ VEGF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RAAS activation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Thứ phát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Angiotensin II tăng → giữ nước, tăng huyết áp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Histamine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Giải phóng từ mast cells dưới tác động của hCG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Prostaglandins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PGE2 tăng tính thấm mạch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Cytokines (IL-6, TNF-α)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viêm hệ thống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ADH (Vasopressin)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Hậu quả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Giữ nước → loãng máu, giảm albumin thật</w:t>
            </w:r>
          </w:p>
        </w:tc>
      </w:tr>
    </w:tbl>
    <w:p>
      <w:pPr>
        <w:pStyle w:val="Heading2"/>
      </w:pPr>
      <w:r>
        <w:t>1.3 Diễn tiến tự nhiên</w:t>
      </w:r>
    </w:p>
    <w:p>
      <w:r>
        <w:rPr>
          <w:rFonts w:ascii="Consolas" w:hAnsi="Consolas"/>
          <w:sz w:val="18"/>
        </w:rPr>
        <w:t>Ngày 0-3 sau trigger:    Biểu hiện sớm (bụng chướng nhẹ)</w:t>
        <w:br/>
        <w:t>Ngày 4-7:               高峰期 — dịch dồn ổ bụng nhiều nhất</w:t>
        <w:br/>
        <w:t>Ngày 7-14:               Thường tự giới hạn (nếu không có thai)</w:t>
        <w:br/>
        <w:t>Nếu mang thai (hCG nội sinh từ nhau): Kéo dài 2-3 tuần, nặng hơn</w:t>
      </w:r>
    </w:p>
    <w:p>
      <w:r>
        <w:rPr>
          <w:b/>
        </w:rPr>
        <w:t>Điểm mấu chốt:</w:t>
      </w:r>
      <w:r>
        <w:t xml:space="preserve"> Phôi implant → tiết hCG nội sinh → kích hoạt lại vòng VEGF → OHSS kéo dài và nặng hơn. Đây là lý do "freeze-all" rất hiệu quả.</w:t>
      </w:r>
    </w:p>
    <w:p/>
    <w:p>
      <w:pPr>
        <w:pStyle w:val="Heading1"/>
      </w:pPr>
      <w:r>
        <w:t>2. PHÂN LOẠI (Classification)</w:t>
      </w:r>
    </w:p>
    <w:p>
      <w:pPr>
        <w:pStyle w:val="Heading2"/>
      </w:pPr>
      <w:r>
        <w:t>Bảng 1: Phân loại OHSS theo Golan (1989) — vẫn dùng phổ biến nhất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Mức độ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Triệu chứng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 cận lâm sàng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Nhẹ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Bụng chướng, buồn nôn, tăng cân nhẹ &lt;3kg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trung bình**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Bụng chướng nhiều, nôn, tăng cân 3-5kg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Ascites echo-free trên SA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Nặng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Ascites lớn, khó thở, giảm tiểu, tăng cân &gt;5kg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Hct &gt;45%, WBC &gt;15,000, Cr niệu tăng, electrolyte disturbance (hypoNa, hypoK)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kịch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Shock, ARDS, renal failure, thromboembolism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Hct &gt;55%, oligo/anuria, creatinine tăng gấp đôi, thromboembolism, DIC</w:t>
            </w:r>
          </w:p>
        </w:tc>
      </w:tr>
    </w:tbl>
    <w:p>
      <w:pPr>
        <w:pStyle w:val="Heading2"/>
      </w:pPr>
      <w:r>
        <w:t>Bảng 2: Phân độ theo RCOG / BFS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Nhẹ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Trung bình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Nặng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 kịch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Bụng chướng, buồn nôn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Ascites rõ, RBC cao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Hydrothorax, creatinine tăng, electrolyte disturbance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Thromboembolism, ARDS, acute kidney injury, DIC, shock</w:t>
            </w:r>
          </w:p>
        </w:tc>
      </w:tr>
    </w:tbl>
    <w:p>
      <w:r>
        <w:rPr>
          <w:b/>
        </w:rPr>
        <w:t>Lưu ý lâm sàng:</w:t>
      </w:r>
      <w:r>
        <w:t xml:space="preserve"> Khoảng 1/3 ca OHSS nặng tiến triển từ dạng nhẹ-trung bình. Theo dõi sát là bắt buộc.</w:t>
      </w:r>
    </w:p>
    <w:p/>
    <w:p>
      <w:pPr>
        <w:pStyle w:val="Heading1"/>
      </w:pPr>
      <w:r>
        <w:t>3. YẾU TỐ NGUY CƠ</w:t>
      </w:r>
    </w:p>
    <w:p>
      <w:pPr>
        <w:pStyle w:val="Heading2"/>
      </w:pPr>
      <w:r>
        <w:t>3.1 Yếu tố nguy cơ cao (ASRM 2024 — Strong predictors)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Ngưỡng cắt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PCOS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Rotterdam criteria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4.0–8.0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**AMH 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&gt;3.0 ng/mL hoặc &gt;25 pmol/L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Sensitivity 82%, Specificity 76%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**AFC 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≥20-25 nang 2-8mm hai buồng trứng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6.2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sử OHSS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≥1 episode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6.0–8.0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Số noãn ≥15/chu kỳ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≥15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5.8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BMI thấp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&lt;25 kg/m² (đặc biệt &lt;20)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2.1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 nang buồng trứng trên SA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PCO morphology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3.0</w:t>
            </w:r>
          </w:p>
        </w:tc>
      </w:tr>
    </w:tbl>
    <w:p>
      <w:pPr>
        <w:pStyle w:val="Heading2"/>
      </w:pPr>
      <w:r>
        <w:t>3.2 Yếu tố nguy cơ trung bình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tuổi trẻ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&lt;30 tuổi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Sử dụng hCG thay thế progesterone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phase support &gt;progesterone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E2 cao lúc trigger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&gt;3,000-4,000 pg/mL hoặc &gt;11,000 pmol/L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Dị ứng/atopy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địa dị ứng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Thiếu Vitamin D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Correlation nhưng chưa có RCT</w:t>
            </w:r>
          </w:p>
        </w:tc>
      </w:tr>
    </w:tbl>
    <w:p>
      <w:pPr>
        <w:pStyle w:val="Heading2"/>
      </w:pPr>
      <w:r>
        <w:t>3.3 Công cụ đánh giá nguy cơ</w:t>
      </w:r>
    </w:p>
    <w:p>
      <w:r>
        <w:rPr>
          <w:b/>
        </w:rPr>
        <w:t>OHSS Risk Calculator (từ ASRM 2024):</w:t>
      </w:r>
    </w:p>
    <w:p>
      <w:pPr>
        <w:pStyle w:val="ListBullet"/>
      </w:pPr>
      <w:r>
        <w:t>Kết hợp: AMH + AFC + tuổi + BMI + PCOS</w:t>
      </w:r>
    </w:p>
    <w:p>
      <w:pPr>
        <w:pStyle w:val="ListBullet"/>
      </w:pPr>
      <w:r>
        <w:t>Kết quả: Low risk (&lt;5%), Moderate (5-15%), High (&gt;15%)</w:t>
      </w:r>
    </w:p>
    <w:p>
      <w:pPr>
        <w:pStyle w:val="ListBullet"/>
      </w:pPr>
      <w:r>
        <w:t>Một số công cụ online: FertiPROTEKT risk assessment</w:t>
      </w:r>
    </w:p>
    <w:p/>
    <w:p>
      <w:pPr>
        <w:pStyle w:val="Heading1"/>
      </w:pPr>
      <w:r>
        <w:t>4. PHÒNG NGỪA (Prevention) — THEO ASRM 2024</w:t>
      </w:r>
    </w:p>
    <w:p>
      <w:pPr>
        <w:pStyle w:val="Heading2"/>
      </w:pPr>
      <w:r>
        <w:t>4.1 Chiến lược trước kích thích (Pre-stimulation)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Chiến lược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ASRM 2024 Recommendation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Metformin co-treatment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khuyến cáo dùng đơn độc để phòng OHSS (Level B)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cải thiện có ý nghĩa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Inositol (Myo/DCI)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đủ bằng chứng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Pilot studies nhỏ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antagonist (vs agonist)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Ưu tiên cho PCOS/nguy cơ 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0.61 (giảm OHSS)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Giảm FSH khởi dose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Personalized dosing theo AMH/AFC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Expert consensus</w:t>
            </w:r>
          </w:p>
        </w:tc>
      </w:tr>
    </w:tbl>
    <w:p>
      <w:pPr>
        <w:pStyle w:val="Heading2"/>
      </w:pPr>
      <w:r>
        <w:t>4.2 Chiến lược trong kích thích (During stimulation)</w:t>
      </w:r>
    </w:p>
    <w:p>
      <w:pPr>
        <w:pStyle w:val="Heading3"/>
      </w:pPr>
      <w:r>
        <w:t>A. GnRH Antagonist Protocol (ưu tiên cho nguy cơ cao)</w:t>
      </w:r>
    </w:p>
    <w:p>
      <w:pPr>
        <w:pStyle w:val="ListBullet"/>
      </w:pPr>
      <w:r>
        <w:t>Không gây "flare-up" ban đầu</w:t>
      </w:r>
    </w:p>
    <w:p>
      <w:pPr>
        <w:pStyle w:val="ListBullet"/>
      </w:pPr>
      <w:r>
        <w:t>Cho phép dùng GnRH agonist làm trigger (duy trì cơ hội trigger với triptorelin/ganirelix)</w:t>
      </w:r>
    </w:p>
    <w:p>
      <w:pPr>
        <w:pStyle w:val="ListBullet"/>
      </w:pPr>
      <w:r>
        <w:t>ASRM 2024: "GnRH antagonist recommended over GnRH agonist for OHSS prevention in high-risk women" (Level A)</w:t>
      </w:r>
    </w:p>
    <w:p>
      <w:pPr>
        <w:pStyle w:val="Heading3"/>
      </w:pPr>
      <w:r>
        <w:t>B. Trigger Agent — ĐÂY LÀ ĐIỂM QUAN TRỌNG NHẤT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Trigger Agent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OHSS Rate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hCG 10,000 IU (tiêm dưới da)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Baseline 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FSH tinh khiết, LH mạnh, T½ dài 36h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hCG 5,000 IU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~50%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Liều thấp hơn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agonist trigger (0.1mg triptorelin)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~70-80% vs hCG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FSH/LH surge tự nhiên, T½ ngắn, nội tiết nhanh hồi phục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Dual trigger (hCG 1000-2000 IU + GnRH agonist)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gian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Tối ưu cho luteal phase support</w:t>
            </w:r>
          </w:p>
        </w:tc>
      </w:tr>
    </w:tbl>
    <w:p>
      <w:r>
        <w:rPr>
          <w:b/>
        </w:rPr>
        <w:t>Cơ chế GnRH agonist trigger thấp OHSS:</w:t>
      </w:r>
    </w:p>
    <w:p>
      <w:pPr>
        <w:pStyle w:val="ListBullet"/>
      </w:pPr>
      <w:r>
        <w:t>GnRH agonist gây FSH + LH surge nội sinh (tự nhiên hơn)</w:t>
      </w:r>
    </w:p>
    <w:p>
      <w:pPr>
        <w:pStyle w:val="ListBullet"/>
      </w:pPr>
      <w:r>
        <w:t>LH peak nhanh giảm sau 24-36h (hCG kéo dài 5-7 ngày)</w:t>
      </w:r>
    </w:p>
    <w:p>
      <w:pPr>
        <w:pStyle w:val="ListBullet"/>
      </w:pPr>
      <w:r>
        <w:t>Không có "long-acting LH" → ít kích thích granulosa cells tiết VEGF</w:t>
      </w:r>
    </w:p>
    <w:p>
      <w:pPr>
        <w:pStyle w:val="ListBullet"/>
      </w:pPr>
      <w:r>
        <w:t>Nhược điểm: Luteal phase yếu → cần aggressive luteal support (estrogen + progesterone)</w:t>
      </w:r>
    </w:p>
    <w:p>
      <w:pPr>
        <w:pStyle w:val="Heading3"/>
      </w:pPr>
      <w:r>
        <w:t>C. Coasting</w:t>
      </w:r>
    </w:p>
    <w:p>
      <w:pPr>
        <w:pStyle w:val="ListBullet"/>
      </w:pPr>
      <w:r>
        <w:t>Ngừng FSH khi ≥3 follicles đạt ≥14mm và E2 &gt;3,000 pg/mL</w:t>
      </w:r>
    </w:p>
    <w:p>
      <w:pPr>
        <w:pStyle w:val="ListBullet"/>
      </w:pPr>
      <w:r>
        <w:t>Chờ E2 giảm 10-20% mỗi ngày, sau đó trigger</w:t>
      </w:r>
    </w:p>
    <w:p>
      <w:pPr>
        <w:pStyle w:val="ListBullet"/>
      </w:pPr>
      <w:r>
        <w:t>Thời gian trung bình: 2-4 ngày</w:t>
      </w:r>
    </w:p>
    <w:p>
      <w:pPr>
        <w:pStyle w:val="ListBullet"/>
      </w:pPr>
      <w:r>
        <w:t>ASRM 2024: "Coasting có thể làm giảm OHSS nhưng bằng chứng không đồng nhất" (Level C)</w:t>
      </w:r>
    </w:p>
    <w:p>
      <w:pPr>
        <w:pStyle w:val="Heading3"/>
      </w:pPr>
      <w:r>
        <w:t>D. Số noãn tối ưu</w:t>
      </w:r>
    </w:p>
    <w:p>
      <w:pPr>
        <w:pStyle w:val="ListBullet"/>
      </w:pPr>
      <w:r>
        <w:t>Trigger khi có ≥3 follicles ≥17mm</w:t>
      </w:r>
    </w:p>
    <w:p>
      <w:pPr>
        <w:pStyle w:val="ListBullet"/>
      </w:pPr>
      <w:r>
        <w:t>Hủy pick-up nếu &gt;20-25 follicles (theo phác đồ/cơ sở)</w:t>
      </w:r>
    </w:p>
    <w:p>
      <w:pPr>
        <w:pStyle w:val="ListBullet"/>
      </w:pPr>
      <w:r>
        <w:t>ASRM 2024: "Consider canceling fresh ET when &gt;20 follicles are present"</w:t>
      </w:r>
    </w:p>
    <w:p>
      <w:pPr>
        <w:pStyle w:val="Heading2"/>
      </w:pPr>
      <w:r>
        <w:t>4.3 Chiến lược sau chọc hút (Post retrieval)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Chiến lược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ASRM 2024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Cryopreservation embryos (freeze-all)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Ưu tiên cho nguy cơ 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Hủy chuyển phôi tươi, trữ phôi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Cabergoline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(0.5mg × 8 ngày từ ngày trigger)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Dopamine agonist, ức chế VEGF receptor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Hydroxyethyl starch (HES) 6%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khuyến cáo thường quy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thể tích nội mạch, có nguy cơ suy thận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Prophylactic albumin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khuyến cáo thường quy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cải thiện, tốn kém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Letrozole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dùng phòng OHSS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ASRM 2024 chống chỉ định cho mục đích này</w:t>
            </w:r>
          </w:p>
        </w:tc>
      </w:tr>
    </w:tbl>
    <w:p/>
    <w:p>
      <w:pPr>
        <w:pStyle w:val="Heading1"/>
      </w:pPr>
      <w:r>
        <w:t>5. QUẢN LÝ (Management)</w:t>
      </w:r>
    </w:p>
    <w:p>
      <w:pPr>
        <w:pStyle w:val="Heading2"/>
      </w:pPr>
      <w:r>
        <w:t>5.1 Thuật toán xử trí</w:t>
      </w:r>
    </w:p>
    <w:p>
      <w:r>
        <w:rPr>
          <w:rFonts w:ascii="Consolas" w:hAnsi="Consolas"/>
          <w:sz w:val="18"/>
        </w:rPr>
        <w:t>SA thấy &gt;12mm follicles + ascites + triệu chứng</w:t>
        <w:br/>
        <w:t xml:space="preserve">        ↓</w:t>
        <w:br/>
        <w:t>Đánh giá mức độ (nhẹ/trung bình/nặng/nguy kịch)</w:t>
        <w:br/>
        <w:t xml:space="preserve">        ↓</w:t>
        <w:br/>
        <w:t>┌─────────────────────────────────────────────────┐</w:t>
        <w:br/>
        <w:t>│ MỨC ĐỘ NHẸ-TRUNG BÌNH                          │</w:t>
        <w:br/>
        <w:t>│ → Ngoại trú, theo dõi                          │</w:t>
        <w:br/>
        <w:t>│ → Paracetamol 500-1000mg/6h khi đau           │</w:t>
        <w:br/>
        <w:t>│ → Cabergoline 0.5mg × 8 ngày                   │</w:t>
        <w:br/>
        <w:t>│ → Uống nhiều protein (1.5g/kg/ngày)           │</w:t>
        <w:br/>
        <w:t>│ → Cân nặng mỗi ngày, theo dõi bụng            │</w:t>
        <w:br/>
        <w:t>│ → Tái khám 2-3 ngày                            │</w:t>
        <w:br/>
        <w:t>│ → Dặn đến ngay nếu: khó thở, tiểu ít, đau nhiều│</w:t>
        <w:br/>
        <w:t>└─────────────────────────────────────────────────┘</w:t>
        <w:br/>
        <w:t xml:space="preserve">        ↓ (nếu nặng hơn)</w:t>
        <w:br/>
        <w:t>┌─────────────────────────────────────────────────┐</w:t>
        <w:br/>
        <w:t>│ MỨC ĐỘ NẶNG                                    │</w:t>
        <w:br/>
        <w:t>│ → Nhập viện                                    │</w:t>
        <w:br/>
        <w:t>│ → Monitoring: cân nặng, bụng, Hct, Cr, ly mạch │</w:t>
        <w:br/>
        <w:t>│ → Hồi sức: saline + albumin 20% (100mL/ngày)  │</w:t>
        <w:br/>
        <w:t>│ → Thay thế progesterone: IM P + vaginal E2    │</w:t>
        <w:br/>
        <w:t>│ → LMWH: enoxaparin 40mg/ngày nếu cần          │</w:t>
        <w:br/>
        <w:t>│ → Chọc hút ascites ( qua thành bụng) nếu khó thở│</w:t>
        <w:br/>
        <w:t>│ → Theo dõi I/O, creatinine, electrolyte         │</w:t>
        <w:br/>
        <w:t>└─────────────────────────────────────────────────┘</w:t>
        <w:br/>
        <w:t xml:space="preserve">        ↓ (nếu nguy kịch)</w:t>
        <w:br/>
        <w:t>┌─────────────────────────────────────────────────┐</w:t>
        <w:br/>
        <w:t>│ MỨC ĐỘ NGUY KỊCH                               │</w:t>
        <w:br/>
        <w:t>│ → ICU monitoring                               │</w:t>
        <w:br/>
        <w:t>│ → ARDS: O2, CPAP/BiPAP                         │</w:t>
        <w:br/>
        <w:t>│ → Thromboembolism: full anticoagulation        │</w:t>
        <w:br/>
        <w:t>│ → AKI: renal consult, có thể cần dialysis      │</w:t>
        <w:br/>
        <w:t>│ → DIC: huyết học, truyền máu                  │</w:t>
        <w:br/>
        <w:t>│ → Quyết định chấm dứt thai nếu đe doạ tính mạng│</w:t>
        <w:br/>
        <w:t>└─────────────────────────────────────────────────┘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5.2 Hướng dẫn nhập viện (RCOG 2016, vẫn áp dụng)</w:t>
      </w:r>
    </w:p>
    <w:p>
      <w:r>
        <w:rPr>
          <w:b/>
        </w:rPr>
        <w:t>Chỉ định nhập viện:</w:t>
      </w:r>
    </w:p>
    <w:p>
      <w:pPr>
        <w:pStyle w:val="ListBullet"/>
      </w:pPr>
      <w:r>
        <w:t>Hct &gt;48% (đặc đặc máu)</w:t>
      </w:r>
    </w:p>
    <w:p>
      <w:pPr>
        <w:pStyle w:val="ListBullet"/>
      </w:pPr>
      <w:r>
        <w:t>WBC &gt;15,000/µL</w:t>
      </w:r>
    </w:p>
    <w:p>
      <w:pPr>
        <w:pStyle w:val="ListBullet"/>
      </w:pPr>
      <w:r>
        <w:t>Oliguria (nước tiểu &lt;500mL/24h hoặc &lt;30mL/h)</w:t>
      </w:r>
    </w:p>
    <w:p>
      <w:pPr>
        <w:pStyle w:val="ListBullet"/>
      </w:pPr>
      <w:r>
        <w:t>Creatinine tăng &gt;1.2 mg/dL</w:t>
      </w:r>
    </w:p>
    <w:p>
      <w:pPr>
        <w:pStyle w:val="ListBullet"/>
      </w:pPr>
      <w:r>
        <w:t>HypoNa &lt;133 mmol/L hoặc hypoK &lt;3.0 mmol/L</w:t>
      </w:r>
    </w:p>
    <w:p>
      <w:pPr>
        <w:pStyle w:val="ListBullet"/>
      </w:pPr>
      <w:r>
        <w:t>Pleural effusion/ khó thở</w:t>
      </w:r>
    </w:p>
    <w:p>
      <w:pPr>
        <w:pStyle w:val="ListBullet"/>
      </w:pPr>
      <w:r>
        <w:t>Bụng căng cứng, không đi lại được</w:t>
      </w:r>
    </w:p>
    <w:p>
      <w:pPr>
        <w:pStyle w:val="Heading2"/>
      </w:pPr>
      <w:r>
        <w:t>5.3 Dinh dưỡng &amp; Theo dõi tại nhà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protein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1.5-2.0 g/kg/ngày (tương đương 100-150g thịt cá/ngày)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Nước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 theo khát, không cưỡng ép nhiều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Na/K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Hạn chế muối nếu phù; bổ sung K nếu hypoK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Theo dõi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Cân nặng hàng ngày, chu vi bụng, số nước tiểu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Paracetamol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500-1000mg/6h PRN, không NSAIDs (nguy cơ suy thận)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Cabergoline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0.5mg × 8 ngày (bắt đầu từ ngày trigger)</w:t>
            </w:r>
          </w:p>
        </w:tc>
      </w:tr>
    </w:tbl>
    <w:p/>
    <w:p>
      <w:pPr>
        <w:pStyle w:val="Heading1"/>
      </w:pPr>
      <w:r>
        <w:t>6. HƯỚNG DẪN THEO NHÃN BỆNH (ASRM 2024)</w:t>
      </w:r>
    </w:p>
    <w:p>
      <w:pPr>
        <w:ind w:left="567"/>
      </w:pPr>
      <w:r>
        <w:rPr>
          <w:b/>
          <w:i/>
        </w:rPr>
        <w:t>Practice Committee of ASRM. Prevention of moderate and severe ovarian hyperstimulation syndrome. Fertil Steril 2024;121:230–245.</w:t>
      </w:r>
      <w:r>
        <w:rPr>
          <w:i/>
        </w:rPr>
        <w:t xml:space="preserve"> PMID: 38099867</w:t>
      </w:r>
    </w:p>
    <w:p>
      <w:pPr>
        <w:pStyle w:val="Heading2"/>
      </w:pPr>
      <w:r>
        <w:t>Bảng tổng hợp khuyến cáo ASRM 2024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Mức độ bằng chứng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Cụ thể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PCOS + nguy cơ cao → dùng GnRH antagonist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0.61 (95% CI 0.43–0.87)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cao → GnRH agonist trigger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OHSS 70-80%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cao → freeze-all embryos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OHSS và cải thiện cumulative LBR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hCG trigger → dùng liều thấp nhất hiệu quả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5,000 IU thay vì 10,000 IU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Cabergoline 0.5mg × 8 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0.48 giảm OHSS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Coasting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đồng nhất, có thể dùng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Metformin đơn độc phòng OHSS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cải thiện OHSS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Letrozole phòng OHSS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Chống chỉ định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bằng chứng, có thể ảnh hưởng thai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Albumin prophylactic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cải thiện, tốn kém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Hydroxyethyl starch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suy thận</w:t>
            </w:r>
          </w:p>
        </w:tc>
      </w:tr>
    </w:tbl>
    <w:p/>
    <w:p>
      <w:pPr>
        <w:pStyle w:val="Heading1"/>
      </w:pPr>
      <w:r>
        <w:t>7. KEY PAPERS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Tác giả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Nội dung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38099867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ASRM Practice Committee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Prevention of moderate and severe OHSS: a guideline — Fertil Steril 2024;121:230-245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39582349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ESHRE Working Group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Ovarian stimulation for IVF/ICSI — OHSS prevention chapter — Human Reprod Update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38379288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CFAS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Management of moderate and severe OHSS — CFAS Clinical Practice Guideline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38099867 (Erratum)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ASRM Practice Committee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Correction to 2024 guideline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RCOG GTG No.5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RCOG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Management of OHSS — Green-top Guideline (vẫn áp dụng)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BFS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Kang et al.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Management of OHSS — British Fertility Society</w:t>
            </w:r>
          </w:p>
        </w:tc>
      </w:tr>
    </w:tbl>
    <w:p/>
    <w:p>
      <w:pPr>
        <w:pStyle w:val="Heading1"/>
      </w:pPr>
      <w:r>
        <w:t>8. ĐIỂM MẤU CHỐT CHO LƯỢNG GIÁ</w:t>
      </w:r>
    </w:p>
    <w:p>
      <w:pPr>
        <w:pStyle w:val="ListNumber"/>
      </w:pPr>
      <w:r>
        <w:rPr>
          <w:b/>
        </w:rPr>
        <w:t>OHSS = VEGF-driven capillary leak</w:t>
      </w:r>
      <w:r>
        <w:t xml:space="preserve"> → tất cả phòng ngừa/điều trị đều nhắm vào khâu này</w:t>
      </w:r>
    </w:p>
    <w:p>
      <w:pPr>
        <w:pStyle w:val="ListNumber"/>
      </w:pPr>
      <w:r>
        <w:rPr>
          <w:b/>
        </w:rPr>
        <w:t>GnRH agonist trigger là chiến lược giảm OHSS hiệu quả nhất</w:t>
      </w:r>
      <w:r>
        <w:t xml:space="preserve"> (giảm ~70-80% so với hCG)</w:t>
      </w:r>
    </w:p>
    <w:p>
      <w:pPr>
        <w:pStyle w:val="ListNumber"/>
      </w:pPr>
      <w:r>
        <w:t>**Freeze-all = giải pháp tối ưu cho nguy cơ cao — loại bỏ yếu tố hCG nội sinh từ thai</w:t>
      </w:r>
    </w:p>
    <w:p>
      <w:pPr>
        <w:pStyle w:val="ListNumber"/>
      </w:pPr>
      <w:r>
        <w:rPr>
          <w:b/>
        </w:rPr>
        <w:t>Không dùng metformin/letrozole đơn độc phòng OHSS</w:t>
      </w:r>
      <w:r>
        <w:t xml:space="preserve"> (ASRM 2024)</w:t>
      </w:r>
    </w:p>
    <w:p>
      <w:pPr>
        <w:pStyle w:val="ListNumber"/>
      </w:pPr>
      <w:r>
        <w:rPr>
          <w:b/>
        </w:rPr>
        <w:t>Nhập viện khi:</w:t>
      </w:r>
      <w:r>
        <w:t xml:space="preserve"> Hct &gt;48%, oligo, Cr tăng, khó thở, pleural effusion</w:t>
      </w:r>
    </w:p>
    <w:p>
      <w:pPr>
        <w:pStyle w:val="ListNumber"/>
      </w:pPr>
      <w:r>
        <w:rPr>
          <w:b/>
        </w:rPr>
        <w:t>Cabergoline</w:t>
      </w:r>
      <w:r>
        <w:t xml:space="preserve"> (dopamine agonist) = cheap, effective, an toàn</w:t>
      </w:r>
    </w:p>
    <w:p/>
    <w:p>
      <w:r>
        <w:rPr>
          <w:i/>
        </w:rPr>
        <w:t>Bài học được viết ngày 14/06/2026. Nguồn: ASRM 2024 PMID 38099867, ESHRE 2025, RCOG GTG No.5, CFAS 2024.</w:t>
      </w:r>
    </w:p>
    <w:p>
      <w:r>
        <w:rPr>
          <w:i/>
        </w:rPr>
        <w:t>Người học: Bác sĩ tự học sản phụ khoa — không thay thế hướng dẫn lâm sàng chính thức.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