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3A5C"/>
          <w:sz w:val="40"/>
        </w:rPr>
        <w:t>OHSS: PHÒNG NGỪA &amp; XỬ TRÍ</w:t>
      </w:r>
    </w:p>
    <w:p>
      <w:pPr>
        <w:jc w:val="center"/>
      </w:pPr>
      <w:r>
        <w:rPr>
          <w:rFonts w:ascii="Times New Roman" w:hAnsi="Times New Roman"/>
          <w:i/>
          <w:color w:val="007A8A"/>
          <w:sz w:val="26"/>
        </w:rPr>
        <w:t>Ovarian Hyperstimulation Syndrome — Prevention &amp; Management</w:t>
      </w:r>
    </w:p>
    <w:p>
      <w:pPr>
        <w:jc w:val="center"/>
      </w:pPr>
      <w:r>
        <w:rPr>
          <w:rFonts w:ascii="Times New Roman" w:hAnsi="Times New Roman"/>
          <w:color w:val="5D6D7E"/>
          <w:sz w:val="20"/>
        </w:rPr>
        <w:t>Ngày: 14/06/2026  |  Chủ đề: ART Complications  |  Mức độ: Chuyên sâu</w:t>
      </w:r>
    </w:p>
    <w:p/>
    <w:p>
      <w:pPr>
        <w:pStyle w:val="Heading1"/>
        <w:jc w:val="left"/>
      </w:pPr>
      <w:r>
        <w:rPr>
          <w:color w:val="1A3A5C"/>
        </w:rPr>
        <w:t>1. SINH LÍ BỆNH HỌC (Pathophysiology)</w:t>
      </w:r>
    </w:p>
    <w:p>
      <w:pPr>
        <w:pStyle w:val="Heading2"/>
        <w:jc w:val="left"/>
      </w:pPr>
      <w:r>
        <w:rPr>
          <w:color w:val="007A8A"/>
        </w:rPr>
        <w:t>1.1 Cơ chế trung tâm</w:t>
      </w:r>
    </w:p>
    <w:p>
      <w:pPr>
        <w:ind w:left="0"/>
      </w:pPr>
      <w:r>
        <w:rPr>
          <w:rFonts w:ascii="Times New Roman" w:hAnsi="Times New Roman"/>
          <w:sz w:val="22"/>
        </w:rPr>
        <w:t>OHSS là phản ứng viêm hệ thống do tăng tính thấm mao mạch, khởi phát bởi hCG (exogenous hoặc từ thai nội sinh) thông qua con đường VEGF.</w:t>
      </w:r>
    </w:p>
    <w:p>
      <w:pPr>
        <w:jc w:val="center"/>
      </w:pPr>
      <w:r>
        <w:rPr>
          <w:rFonts w:ascii="Courier New" w:hAnsi="Courier New"/>
          <w:color w:val="C0392B"/>
          <w:sz w:val="18"/>
        </w:rPr>
        <w:t>hCG trigger → LH/hCG receptor (granulosa cells)</w:t>
        <w:br/>
        <w:t xml:space="preserve">          ↓</w:t>
        <w:br/>
        <w:t xml:space="preserve">    Tăng tiết VEGF-A</w:t>
        <w:br/>
        <w:t xml:space="preserve">          ↓</w:t>
        <w:br/>
        <w:t xml:space="preserve">    VEGFR-2 phosphorylation → Src → actin stress fibers</w:t>
        <w:br/>
        <w:t xml:space="preserve">          ↓</w:t>
        <w:br/>
        <w:t xml:space="preserve">    Tăng tính thấm mao mạch (capillary permeability)</w:t>
        <w:br/>
        <w:t xml:space="preserve">          ↓</w:t>
        <w:br/>
        <w:t xml:space="preserve">    Dịch di chuyển ngoài mạch → ASCITES, PLEURAL EFFUSION,</w:t>
        <w:br/>
        <w:t xml:space="preserve">       HEMOCONCENTRATION, ELECTROLYTE DISTURBANCE</w:t>
      </w:r>
    </w:p>
    <w:p/>
    <w:p>
      <w:pPr>
        <w:pStyle w:val="Heading2"/>
        <w:jc w:val="left"/>
      </w:pPr>
      <w:r>
        <w:rPr>
          <w:color w:val="007A8A"/>
        </w:rPr>
        <w:t>1.2 Các con đường phụ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Yếu tố</w:t>
            </w:r>
          </w:p>
        </w:tc>
        <w:tc>
          <w:tcPr>
            <w:tcW w:type="dxa" w:w="648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288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VEGF-A</w:t>
            </w:r>
          </w:p>
        </w:tc>
        <w:tc>
          <w:tcPr>
            <w:tcW w:type="dxa" w:w="648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Trung tâm — cường độ OHSS tương quan nồng độ VEGF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RAAS activation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Thứ phản — angiotensin II tăng, giữ nước</w:t>
            </w:r>
          </w:p>
        </w:tc>
      </w:tr>
      <w:tr>
        <w:tc>
          <w:tcPr>
            <w:tcW w:type="dxa" w:w="288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Histamine</w:t>
            </w:r>
          </w:p>
        </w:tc>
        <w:tc>
          <w:tcPr>
            <w:tcW w:type="dxa" w:w="648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Từ mast cells, tăng tính thấm mạch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Prostaglandins (PGE2)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Tăng tính thấm mạch</w:t>
            </w:r>
          </w:p>
        </w:tc>
      </w:tr>
      <w:tr>
        <w:tc>
          <w:tcPr>
            <w:tcW w:type="dxa" w:w="288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Cytokines (IL-6, TNF-α)</w:t>
            </w:r>
          </w:p>
        </w:tc>
        <w:tc>
          <w:tcPr>
            <w:tcW w:type="dxa" w:w="648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Cơ chế viêm hệ thống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ADH (Vasopressin)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Giữ nước → loãng máu, giảm albumin thật</w:t>
            </w:r>
          </w:p>
        </w:tc>
      </w:tr>
    </w:tbl>
    <w:p/>
    <w:p>
      <w:pPr>
        <w:pStyle w:val="Heading2"/>
        <w:jc w:val="left"/>
      </w:pPr>
      <w:r>
        <w:rPr>
          <w:color w:val="007A8A"/>
        </w:rPr>
        <w:t>1.3 Diễn tiến tự nhiên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Thời điểm</w:t>
            </w:r>
          </w:p>
        </w:tc>
        <w:tc>
          <w:tcPr>
            <w:tcW w:type="dxa" w:w="576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Diễn biến</w:t>
            </w:r>
          </w:p>
        </w:tc>
      </w:tr>
      <w:tr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Ngày 0-3 sau trigger</w:t>
            </w:r>
          </w:p>
        </w:tc>
        <w:tc>
          <w:tcPr>
            <w:tcW w:type="dxa" w:w="57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Biểu hiện sớm: bụng chướng nhẹ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Ngày 4-7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Đỉnh — dịch dồn ổ bụng nhiều nhất</w:t>
            </w:r>
          </w:p>
        </w:tc>
      </w:tr>
      <w:tr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Ngày 7-14 (không thai)</w:t>
            </w:r>
          </w:p>
        </w:tc>
        <w:tc>
          <w:tcPr>
            <w:tcW w:type="dxa" w:w="57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Tự giới hạn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Nếu mang thai (hCG nội sinh)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Kéo dài 2-3 tuần, nặng hơn</w:t>
            </w:r>
          </w:p>
        </w:tc>
      </w:tr>
    </w:tbl>
    <w:p/>
    <w:p>
      <w:pPr>
        <w:ind w:left="0"/>
      </w:pPr>
      <w:r>
        <w:rPr>
          <w:rFonts w:ascii="Times New Roman" w:hAnsi="Times New Roman"/>
          <w:b/>
          <w:color w:val="007A8A"/>
          <w:sz w:val="22"/>
        </w:rPr>
        <w:t xml:space="preserve">💡 </w:t>
      </w:r>
      <w:r>
        <w:rPr>
          <w:rFonts w:ascii="Times New Roman" w:hAnsi="Times New Roman"/>
          <w:sz w:val="22"/>
        </w:rPr>
        <w:t>Điểm mấu chốt: Phôi implant → tiết hCG nội sinh → kích hoạt lại vòng VEGF → OHSS kéo dài. Đây là lý do freeze-all rất hiệu quả.</w:t>
      </w:r>
    </w:p>
    <w:p>
      <w:pPr>
        <w:pStyle w:val="Heading1"/>
        <w:jc w:val="left"/>
      </w:pPr>
      <w:r>
        <w:rPr>
          <w:color w:val="1A3A5C"/>
        </w:rPr>
        <w:t>2. PHÂN LOẠI (Classification)</w:t>
      </w:r>
    </w:p>
    <w:p>
      <w:pPr>
        <w:ind w:left="0"/>
      </w:pPr>
      <w:r>
        <w:rPr>
          <w:rFonts w:ascii="Times New Roman" w:hAnsi="Times New Roman"/>
          <w:sz w:val="22"/>
        </w:rPr>
        <w:t>Phân loại theo Golan (1989) — vẫn dùng phổ biến nhất, kết hợp với RCOG/BFS.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2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4608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Triệu chứng lâm sàng</w:t>
            </w:r>
          </w:p>
        </w:tc>
        <w:tc>
          <w:tcPr>
            <w:tcW w:type="dxa" w:w="432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Dấu hiệu cận lâm sàng</w:t>
            </w:r>
          </w:p>
        </w:tc>
      </w:tr>
      <w:tr>
        <w:tc>
          <w:tcPr>
            <w:tcW w:type="dxa" w:w="1872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Nhẹ</w:t>
            </w:r>
          </w:p>
        </w:tc>
        <w:tc>
          <w:tcPr>
            <w:tcW w:type="dxa" w:w="4608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Bụng chướng, buồn nôn, tăng cân &lt;3 kg</w:t>
            </w:r>
          </w:p>
        </w:tc>
        <w:tc>
          <w:tcPr>
            <w:tcW w:type="dxa" w:w="432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có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Trung bình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Bụng chướng nhiều, nôn, tăng cân 3-5 kg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Ascites echo-free trên SA</w:t>
            </w:r>
          </w:p>
        </w:tc>
      </w:tr>
      <w:tr>
        <w:tc>
          <w:tcPr>
            <w:tcW w:type="dxa" w:w="1872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Nặng</w:t>
            </w:r>
          </w:p>
        </w:tc>
        <w:tc>
          <w:tcPr>
            <w:tcW w:type="dxa" w:w="4608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Ascites lớn, khó thở, giảm tiểu, tăng cân &gt;5 kg</w:t>
            </w:r>
          </w:p>
        </w:tc>
        <w:tc>
          <w:tcPr>
            <w:tcW w:type="dxa" w:w="432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Hct &gt;45%, WBC &gt;15,000, Cr niệu tăng, hypoNa, hypoK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Nguy kịch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Shock, ARDS, renal failure, thromboembolism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Hct &gt;55%, oligo/anuria, DIC, creatinine ×2</w:t>
            </w:r>
          </w:p>
        </w:tc>
      </w:tr>
    </w:tbl>
    <w:p/>
    <w:p>
      <w:pPr>
        <w:ind w:left="0"/>
      </w:pPr>
      <w:r>
        <w:rPr>
          <w:rFonts w:ascii="Times New Roman" w:hAnsi="Times New Roman"/>
          <w:b/>
          <w:color w:val="007A8A"/>
          <w:sz w:val="22"/>
        </w:rPr>
        <w:t xml:space="preserve">⚠️ </w:t>
      </w:r>
      <w:r>
        <w:rPr>
          <w:rFonts w:ascii="Times New Roman" w:hAnsi="Times New Roman"/>
          <w:sz w:val="22"/>
        </w:rPr>
        <w:t>Khoảng 1/3 ca OHSS nặng tiến triển từ dạng nhẹ-trung bình. Theo dõi sát là bắt buộc — không được xuất viện sớm.</w:t>
      </w:r>
    </w:p>
    <w:p>
      <w:pPr>
        <w:pStyle w:val="Heading1"/>
        <w:jc w:val="left"/>
      </w:pPr>
      <w:r>
        <w:rPr>
          <w:color w:val="1A3A5C"/>
        </w:rPr>
        <w:t>3. YẾU TỐ NGUY CƠ (Risk Factors)</w:t>
      </w:r>
    </w:p>
    <w:p>
      <w:pPr>
        <w:pStyle w:val="Heading2"/>
        <w:jc w:val="left"/>
      </w:pPr>
      <w:r>
        <w:rPr>
          <w:color w:val="007A8A"/>
        </w:rPr>
        <w:t>3.1 Yếu tố nguy cơ cao (ASRM 2024)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Yếu tố</w:t>
            </w:r>
          </w:p>
        </w:tc>
        <w:tc>
          <w:tcPr>
            <w:tcW w:type="dxa" w:w="360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Ngưỡng cắt</w:t>
            </w:r>
          </w:p>
        </w:tc>
        <w:tc>
          <w:tcPr>
            <w:tcW w:type="dxa" w:w="4032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168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PCOS</w:t>
            </w:r>
          </w:p>
        </w:tc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Rotterdam criteria</w:t>
            </w:r>
          </w:p>
        </w:tc>
        <w:tc>
          <w:tcPr>
            <w:tcW w:type="dxa" w:w="4032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 4.0–8.0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AMH cao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&gt;3.0 ng/mL hoặc &gt;25 pmol/L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Sensitivity 82%, Specificity 76%</w:t>
            </w:r>
          </w:p>
        </w:tc>
      </w:tr>
      <w:tr>
        <w:tc>
          <w:tcPr>
            <w:tcW w:type="dxa" w:w="3168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AFC cao</w:t>
            </w:r>
          </w:p>
        </w:tc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≥20-25 nang 2-8 mm hai buồng trứng</w:t>
            </w:r>
          </w:p>
        </w:tc>
        <w:tc>
          <w:tcPr>
            <w:tcW w:type="dxa" w:w="4032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 6.2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Tiền sử OHSS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≥1 episode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 6.0–8.0</w:t>
            </w:r>
          </w:p>
        </w:tc>
      </w:tr>
      <w:tr>
        <w:tc>
          <w:tcPr>
            <w:tcW w:type="dxa" w:w="3168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Số noãn ≥15/chu kỳ</w:t>
            </w:r>
          </w:p>
        </w:tc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≥15</w:t>
            </w:r>
          </w:p>
        </w:tc>
        <w:tc>
          <w:tcPr>
            <w:tcW w:type="dxa" w:w="4032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 5.8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BMI thấp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&lt;25 kg/m² (đặc biệt &lt;20)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 2.1</w:t>
            </w:r>
          </w:p>
        </w:tc>
      </w:tr>
      <w:tr>
        <w:tc>
          <w:tcPr>
            <w:tcW w:type="dxa" w:w="3168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Đa nang buồng trứng trên SA</w:t>
            </w:r>
          </w:p>
        </w:tc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PCO morphology</w:t>
            </w:r>
          </w:p>
        </w:tc>
        <w:tc>
          <w:tcPr>
            <w:tcW w:type="dxa" w:w="4032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 3.0</w:t>
            </w:r>
          </w:p>
        </w:tc>
      </w:tr>
    </w:tbl>
    <w:p/>
    <w:p>
      <w:pPr>
        <w:pStyle w:val="Heading2"/>
        <w:jc w:val="left"/>
      </w:pPr>
      <w:r>
        <w:rPr>
          <w:color w:val="007A8A"/>
        </w:rPr>
        <w:t>3.2 Yếu tố nguy cơ trung bình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Yếu tố</w:t>
            </w:r>
          </w:p>
        </w:tc>
        <w:tc>
          <w:tcPr>
            <w:tcW w:type="dxa" w:w="576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Độ tuổi trẻ</w:t>
            </w:r>
          </w:p>
        </w:tc>
        <w:tc>
          <w:tcPr>
            <w:tcW w:type="dxa" w:w="57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&lt;30 tuổi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hCG cho luteal phase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hCG phase support &gt; progesterone</w:t>
            </w:r>
          </w:p>
        </w:tc>
      </w:tr>
      <w:tr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E2 cao lúc trigger</w:t>
            </w:r>
          </w:p>
        </w:tc>
        <w:tc>
          <w:tcPr>
            <w:tcW w:type="dxa" w:w="57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&gt;3,000-4,000 pg/mL hoặc &gt;11,000 pmol/L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Dị ứng/atopy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Cơ địa dị ứng</w:t>
            </w:r>
          </w:p>
        </w:tc>
      </w:tr>
    </w:tbl>
    <w:p/>
    <w:p>
      <w:pPr>
        <w:pStyle w:val="Heading1"/>
        <w:jc w:val="left"/>
      </w:pPr>
      <w:r>
        <w:rPr>
          <w:color w:val="1A3A5C"/>
        </w:rPr>
        <w:t>4. PHÒNG NGỪA (Prevention) — THEO ASRM 2024</w:t>
      </w:r>
    </w:p>
    <w:p>
      <w:pPr>
        <w:ind w:left="0"/>
      </w:pPr>
      <w:r>
        <w:rPr>
          <w:rFonts w:ascii="Times New Roman" w:hAnsi="Times New Roman"/>
          <w:b/>
          <w:color w:val="007A8A"/>
          <w:sz w:val="22"/>
        </w:rPr>
        <w:t xml:space="preserve">📖 </w:t>
      </w:r>
      <w:r>
        <w:rPr>
          <w:rFonts w:ascii="Times New Roman" w:hAnsi="Times New Roman"/>
          <w:sz w:val="22"/>
        </w:rPr>
        <w:t>Practice Committee of ASRM. Prevention of moderate and severe ovarian hyperstimulation syndrome. Fertil Steril 2024;121:230-245. PMID: 38099867</w:t>
      </w:r>
    </w:p>
    <w:p>
      <w:pPr>
        <w:pStyle w:val="Heading2"/>
        <w:jc w:val="left"/>
      </w:pPr>
      <w:r>
        <w:rPr>
          <w:color w:val="C0392B"/>
        </w:rPr>
        <w:t>4.1 Trigger Agent — ĐIỂM QUAN TRỌNG NHẤT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Trigger Agent</w:t>
            </w:r>
          </w:p>
        </w:tc>
        <w:tc>
          <w:tcPr>
            <w:tcW w:type="dxa" w:w="2592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OHSS Rate</w:t>
            </w:r>
          </w:p>
        </w:tc>
        <w:tc>
          <w:tcPr>
            <w:tcW w:type="dxa" w:w="4608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Cơ chế</w:t>
            </w:r>
          </w:p>
        </w:tc>
      </w:tr>
      <w:tr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hCG 10,000 IU (SC)</w:t>
            </w:r>
          </w:p>
        </w:tc>
        <w:tc>
          <w:tcPr>
            <w:tcW w:type="dxa" w:w="2592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Baseline cao</w:t>
            </w:r>
          </w:p>
        </w:tc>
        <w:tc>
          <w:tcPr>
            <w:tcW w:type="dxa" w:w="4608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FSH tinh khiết, LH mạnh, T½ dài 36h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hCG 5,000 IU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Giảm ~50%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Liều thấp hơn</w:t>
            </w:r>
          </w:p>
        </w:tc>
      </w:tr>
      <w:tr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GnRH agonist (0.1mg triptorelin)</w:t>
            </w:r>
          </w:p>
        </w:tc>
        <w:tc>
          <w:tcPr>
            <w:tcW w:type="dxa" w:w="2592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Giảm ~70-80%</w:t>
            </w:r>
          </w:p>
        </w:tc>
        <w:tc>
          <w:tcPr>
            <w:tcW w:type="dxa" w:w="4608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FSH+LH surge tự nhiên, T½ ngắn → nội tiết nhanh hồi phục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Dual trigger (hCG 1000-2000 IU + GnRH agonist)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Trung gian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Tối ưu cho luteal phase support</w:t>
            </w:r>
          </w:p>
        </w:tc>
      </w:tr>
    </w:tbl>
    <w:p/>
    <w:p>
      <w:pPr>
        <w:ind w:left="0"/>
      </w:pPr>
      <w:r>
        <w:rPr>
          <w:rFonts w:ascii="Times New Roman" w:hAnsi="Times New Roman"/>
          <w:b/>
          <w:color w:val="007A8A"/>
          <w:sz w:val="22"/>
        </w:rPr>
        <w:t xml:space="preserve">🔑 </w:t>
      </w:r>
      <w:r>
        <w:rPr>
          <w:rFonts w:ascii="Times New Roman" w:hAnsi="Times New Roman"/>
          <w:sz w:val="22"/>
        </w:rPr>
        <w:t>Cơ chế GnRH agonist trigger giảm OHSS: LH surge nội sinh tự nhiên (tự nhiên hơn hCG thuần túy), LH peak giảm nhanh sau 24-36h (hCG kéo dài 5-7 ngày) → ít kích thích granulosa cells tiết VEGF. Nhược điểm: Luteal phase yếu → cần aggressive luteal support (estrogen + progesterone).</w:t>
      </w:r>
    </w:p>
    <w:p>
      <w:pPr>
        <w:pStyle w:val="Heading2"/>
        <w:jc w:val="left"/>
      </w:pPr>
      <w:r>
        <w:rPr>
          <w:color w:val="007A8A"/>
        </w:rPr>
        <w:t>4.2 Chiến lược trong kích thích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Chiến lược</w:t>
            </w:r>
          </w:p>
        </w:tc>
        <w:tc>
          <w:tcPr>
            <w:tcW w:type="dxa" w:w="504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ASRM 2024 Recommendation</w:t>
            </w:r>
          </w:p>
        </w:tc>
        <w:tc>
          <w:tcPr>
            <w:tcW w:type="dxa" w:w="216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Evidence Level</w:t>
            </w:r>
          </w:p>
        </w:tc>
      </w:tr>
      <w:tr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GnRH antagonist (vs agonist)</w:t>
            </w:r>
          </w:p>
        </w:tc>
        <w:tc>
          <w:tcPr>
            <w:tcW w:type="dxa" w:w="504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Ưu tiên cho PCOS/nguy cơ cao</w:t>
            </w:r>
          </w:p>
        </w:tc>
        <w:tc>
          <w:tcPr>
            <w:tcW w:type="dxa" w:w="21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— OR 0.61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Giảm FSH khởi dose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Personalized theo AMH/AFC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Expert consensus</w:t>
            </w:r>
          </w:p>
        </w:tc>
      </w:tr>
      <w:tr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Coasting</w:t>
            </w:r>
          </w:p>
        </w:tc>
        <w:tc>
          <w:tcPr>
            <w:tcW w:type="dxa" w:w="504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Có thể dùng — không đồng nhất</w:t>
            </w:r>
          </w:p>
        </w:tc>
        <w:tc>
          <w:tcPr>
            <w:tcW w:type="dxa" w:w="21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Số noãn tối ưu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Trigger khi ≥3 follicles ≥17mm; hủy &gt;20-25 nang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Expert consensus</w:t>
            </w:r>
          </w:p>
        </w:tc>
      </w:tr>
    </w:tbl>
    <w:p/>
    <w:p>
      <w:pPr>
        <w:pStyle w:val="Heading2"/>
        <w:jc w:val="left"/>
      </w:pPr>
      <w:r>
        <w:rPr>
          <w:color w:val="007A8A"/>
        </w:rPr>
        <w:t>4.3 Chiến lược sau chọc 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Chiến lược</w:t>
            </w:r>
          </w:p>
        </w:tc>
        <w:tc>
          <w:tcPr>
            <w:tcW w:type="dxa" w:w="216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ASRM 2024</w:t>
            </w:r>
          </w:p>
        </w:tc>
        <w:tc>
          <w:tcPr>
            <w:tcW w:type="dxa" w:w="504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Freeze-all embryos</w:t>
            </w:r>
          </w:p>
        </w:tc>
        <w:tc>
          <w:tcPr>
            <w:tcW w:type="dxa" w:w="21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Ưu tiên cho nguy cơ cao</w:t>
            </w:r>
          </w:p>
        </w:tc>
        <w:tc>
          <w:tcPr>
            <w:tcW w:type="dxa" w:w="504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Hủy chuyển phôi tươi, trữ phôi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Cabergoline 0.5mg × 8 ngày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Có — Level B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Dopamine agonist, ức chế VEGF receptor; OR 0.48</w:t>
            </w:r>
          </w:p>
        </w:tc>
      </w:tr>
      <w:tr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Hydroxyethyl starch 6%</w:t>
            </w:r>
          </w:p>
        </w:tc>
        <w:tc>
          <w:tcPr>
            <w:tcW w:type="dxa" w:w="21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khuyến cáo thường quy</w:t>
            </w:r>
          </w:p>
        </w:tc>
        <w:tc>
          <w:tcPr>
            <w:tcW w:type="dxa" w:w="504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Nguy cơ suy thận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Prophylactic albumin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khuyến cáo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cải thiện, tốn kém</w:t>
            </w:r>
          </w:p>
        </w:tc>
      </w:tr>
      <w:tr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Metformin đơn độc</w:t>
            </w:r>
          </w:p>
        </w:tc>
        <w:tc>
          <w:tcPr>
            <w:tcW w:type="dxa" w:w="21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khuyến cáo phòng OHSS</w:t>
            </w:r>
          </w:p>
        </w:tc>
        <w:tc>
          <w:tcPr>
            <w:tcW w:type="dxa" w:w="504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cải thiện OHSS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Letrozole phòng OHSS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Chống chỉ định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có bằng chứng, có thể ảnh hưởng thai</w:t>
            </w:r>
          </w:p>
        </w:tc>
      </w:tr>
    </w:tbl>
    <w:p/>
    <w:p>
      <w:pPr>
        <w:pStyle w:val="Heading1"/>
        <w:jc w:val="left"/>
      </w:pPr>
      <w:r>
        <w:rPr>
          <w:color w:val="1A3A5C"/>
        </w:rPr>
        <w:t>5. QUẢN LÝ (Management)</w:t>
      </w:r>
    </w:p>
    <w:p>
      <w:pPr>
        <w:pStyle w:val="Heading2"/>
        <w:jc w:val="left"/>
      </w:pPr>
      <w:r>
        <w:rPr>
          <w:color w:val="007A8A"/>
        </w:rPr>
        <w:t>5.1 Chỉ định nhập viện (RCOG 2016)</w:t>
      </w:r>
    </w:p>
    <w:p>
      <w:pPr>
        <w:pStyle w:val="ListBullet"/>
        <w:ind w:left="360"/>
      </w:pPr>
      <w:r>
        <w:rPr>
          <w:rFonts w:ascii="Times New Roman" w:hAnsi="Times New Roman"/>
          <w:sz w:val="22"/>
        </w:rPr>
        <w:t>Hct &gt;48% (đặc đặc máu)</w:t>
      </w:r>
    </w:p>
    <w:p>
      <w:pPr>
        <w:pStyle w:val="ListBullet"/>
        <w:ind w:left="360"/>
      </w:pPr>
      <w:r>
        <w:rPr>
          <w:rFonts w:ascii="Times New Roman" w:hAnsi="Times New Roman"/>
          <w:sz w:val="22"/>
        </w:rPr>
        <w:t>WBC &gt;15,000/µL</w:t>
      </w:r>
    </w:p>
    <w:p>
      <w:pPr>
        <w:pStyle w:val="ListBullet"/>
        <w:ind w:left="360"/>
      </w:pPr>
      <w:r>
        <w:rPr>
          <w:rFonts w:ascii="Times New Roman" w:hAnsi="Times New Roman"/>
          <w:sz w:val="22"/>
        </w:rPr>
        <w:t>Oliguria: nước tiểu &lt;500 mL/24h hoặc &lt;30 mL/h</w:t>
      </w:r>
    </w:p>
    <w:p>
      <w:pPr>
        <w:pStyle w:val="ListBullet"/>
        <w:ind w:left="360"/>
      </w:pPr>
      <w:r>
        <w:rPr>
          <w:rFonts w:ascii="Times New Roman" w:hAnsi="Times New Roman"/>
          <w:sz w:val="22"/>
        </w:rPr>
        <w:t>Creatinine tăng &gt;1.2 mg/dL</w:t>
      </w:r>
    </w:p>
    <w:p>
      <w:pPr>
        <w:pStyle w:val="ListBullet"/>
        <w:ind w:left="360"/>
      </w:pPr>
      <w:r>
        <w:rPr>
          <w:rFonts w:ascii="Times New Roman" w:hAnsi="Times New Roman"/>
          <w:sz w:val="22"/>
        </w:rPr>
        <w:t>HypoNa &lt;133 mmol/L hoặc hypoK &lt;3.0 mmol/L</w:t>
      </w:r>
    </w:p>
    <w:p>
      <w:pPr>
        <w:pStyle w:val="ListBullet"/>
        <w:ind w:left="360"/>
      </w:pPr>
      <w:r>
        <w:rPr>
          <w:rFonts w:ascii="Times New Roman" w:hAnsi="Times New Roman"/>
          <w:sz w:val="22"/>
        </w:rPr>
        <w:t>Pleural effusion / khó thở</w:t>
      </w:r>
    </w:p>
    <w:p>
      <w:pPr>
        <w:pStyle w:val="ListBullet"/>
        <w:ind w:left="360"/>
      </w:pPr>
      <w:r>
        <w:rPr>
          <w:rFonts w:ascii="Times New Roman" w:hAnsi="Times New Roman"/>
          <w:sz w:val="22"/>
        </w:rPr>
        <w:t>Bụng căng cứng, không đi lại được</w:t>
      </w:r>
    </w:p>
    <w:p>
      <w:pPr>
        <w:pStyle w:val="Heading2"/>
        <w:jc w:val="left"/>
      </w:pPr>
      <w:r>
        <w:rPr>
          <w:color w:val="007A8A"/>
        </w:rPr>
        <w:t>5.2 Xử trí theo mức độ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720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Xử trí chính</w:t>
            </w:r>
          </w:p>
        </w:tc>
      </w:tr>
      <w:tr>
        <w:tc>
          <w:tcPr>
            <w:tcW w:type="dxa" w:w="21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Nhẹ - Trung bình</w:t>
            </w:r>
          </w:p>
        </w:tc>
        <w:tc>
          <w:tcPr>
            <w:tcW w:type="dxa" w:w="72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Ngoại trú: paracetamol, cabergoline 0.5mg × 8 ngày, protein 1.5g/kg/ngày, cân nặng hàng ngày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Nặng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Nhập viện: monitoring Hct/Cr/ly mạch, saline + albumin 20% (100 mL/ngày), LMWH (enoxaparin 40mg/ngày), chọc hút ascites nếu khó thở</w:t>
            </w:r>
          </w:p>
        </w:tc>
      </w:tr>
      <w:tr>
        <w:tc>
          <w:tcPr>
            <w:tcW w:type="dxa" w:w="21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Nguy kịch</w:t>
            </w:r>
          </w:p>
        </w:tc>
        <w:tc>
          <w:tcPr>
            <w:tcW w:type="dxa" w:w="72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ICU: O2/CPAP cho ARDS, full anticoagulation cho thromboembolism, renal consult, có thể dialysis, quyết định chấm dứt thai nếu đe dọa tính mạng</w:t>
            </w:r>
          </w:p>
        </w:tc>
      </w:tr>
    </w:tbl>
    <w:p/>
    <w:p>
      <w:pPr>
        <w:pStyle w:val="Heading2"/>
        <w:jc w:val="left"/>
      </w:pPr>
      <w:r>
        <w:rPr>
          <w:color w:val="007A8A"/>
        </w:rPr>
        <w:t>5.3 Dinh dưỡng &amp; theo dõi tại nhà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Khuyến cáo</w:t>
            </w:r>
          </w:p>
        </w:tc>
        <w:tc>
          <w:tcPr>
            <w:tcW w:type="dxa" w:w="648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288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Protein</w:t>
            </w:r>
          </w:p>
        </w:tc>
        <w:tc>
          <w:tcPr>
            <w:tcW w:type="dxa" w:w="648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1.5-2.0 g/kg/ngày (100-150g thịt/cá/ngày)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Nước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Uống theo khát, không cưỡng ép</w:t>
            </w:r>
          </w:p>
        </w:tc>
      </w:tr>
      <w:tr>
        <w:tc>
          <w:tcPr>
            <w:tcW w:type="dxa" w:w="288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Theo dõi</w:t>
            </w:r>
          </w:p>
        </w:tc>
        <w:tc>
          <w:tcPr>
            <w:tcW w:type="dxa" w:w="648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Cân nặng hàng ngày, chu vi bụng, số nước tiểu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Giảm đau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Paracetamol 500-1000mg/6h; KHÔNG NSAIDs (nguy cơ suy thận)</w:t>
            </w:r>
          </w:p>
        </w:tc>
      </w:tr>
      <w:tr>
        <w:tc>
          <w:tcPr>
            <w:tcW w:type="dxa" w:w="288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Cabergoline</w:t>
            </w:r>
          </w:p>
        </w:tc>
        <w:tc>
          <w:tcPr>
            <w:tcW w:type="dxa" w:w="648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0.5mg × 8 ngày (bắt đầu từ ngày trigger)</w:t>
            </w:r>
          </w:p>
        </w:tc>
      </w:tr>
    </w:tbl>
    <w:p/>
    <w:p>
      <w:pPr>
        <w:pStyle w:val="Heading1"/>
        <w:jc w:val="left"/>
      </w:pPr>
      <w:r>
        <w:rPr>
          <w:color w:val="1A3A5C"/>
        </w:rPr>
        <w:t>6. KHUYẾN CÁO THEO ASRM 2024 (PMID 38099867)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04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Khuyến cáo</w:t>
            </w:r>
          </w:p>
        </w:tc>
        <w:tc>
          <w:tcPr>
            <w:tcW w:type="dxa" w:w="216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Mức Bằng chứng</w:t>
            </w:r>
          </w:p>
        </w:tc>
        <w:tc>
          <w:tcPr>
            <w:tcW w:type="dxa" w:w="360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504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PCOS + nguy cơ cao → GnRH antagonist</w:t>
            </w:r>
          </w:p>
        </w:tc>
        <w:tc>
          <w:tcPr>
            <w:tcW w:type="dxa" w:w="21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 0.61 (95% CI 0.43-0.87)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Nguy cơ cao → GnRH agonist trigger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Giảm OHSS 70-80%</w:t>
            </w:r>
          </w:p>
        </w:tc>
      </w:tr>
      <w:tr>
        <w:tc>
          <w:tcPr>
            <w:tcW w:type="dxa" w:w="504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Nguy cơ cao → freeze-all embryos</w:t>
            </w:r>
          </w:p>
        </w:tc>
        <w:tc>
          <w:tcPr>
            <w:tcW w:type="dxa" w:w="21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Giảm OHSS + cải thiện cumulative LBR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hCG trigger → dùng liều thấp nhất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5,000 IU thay vì 10,000 IU</w:t>
            </w:r>
          </w:p>
        </w:tc>
      </w:tr>
      <w:tr>
        <w:tc>
          <w:tcPr>
            <w:tcW w:type="dxa" w:w="504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Cabergoline 0.5mg × 8 ngày</w:t>
            </w:r>
          </w:p>
        </w:tc>
        <w:tc>
          <w:tcPr>
            <w:tcW w:type="dxa" w:w="21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 0.48 giảm OHSS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Coasting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đồng nhất, có thể dùng</w:t>
            </w:r>
          </w:p>
        </w:tc>
      </w:tr>
      <w:tr>
        <w:tc>
          <w:tcPr>
            <w:tcW w:type="dxa" w:w="504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Metformin đơn độc phòng OHSS</w:t>
            </w:r>
          </w:p>
        </w:tc>
        <w:tc>
          <w:tcPr>
            <w:tcW w:type="dxa" w:w="21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khuyến cáo</w:t>
            </w:r>
          </w:p>
        </w:tc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cải thiện OHSS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Letrozole phòng OHSS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Chống chỉ định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có bằng chứng, ảnh hưởng thai</w:t>
            </w:r>
          </w:p>
        </w:tc>
      </w:tr>
      <w:tr>
        <w:tc>
          <w:tcPr>
            <w:tcW w:type="dxa" w:w="504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Albumin prophylactic</w:t>
            </w:r>
          </w:p>
        </w:tc>
        <w:tc>
          <w:tcPr>
            <w:tcW w:type="dxa" w:w="216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khuyến cáo</w:t>
            </w:r>
          </w:p>
        </w:tc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cải thiện, tốn kém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Hydroxyethyl starch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Không khuyến cáo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Nguy cơ suy thận</w:t>
            </w:r>
          </w:p>
        </w:tc>
      </w:tr>
    </w:tbl>
    <w:p/>
    <w:p>
      <w:pPr>
        <w:pStyle w:val="Heading1"/>
        <w:jc w:val="left"/>
      </w:pPr>
      <w:r>
        <w:rPr>
          <w:color w:val="1A3A5C"/>
        </w:rPr>
        <w:t>7. TÀI LIỆU THAM KHẢO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28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PMID</w:t>
            </w:r>
          </w:p>
        </w:tc>
        <w:tc>
          <w:tcPr>
            <w:tcW w:type="dxa" w:w="1152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Năm</w:t>
            </w:r>
          </w:p>
        </w:tc>
        <w:tc>
          <w:tcPr>
            <w:tcW w:type="dxa" w:w="432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Tác giả / Nguồn</w:t>
            </w:r>
          </w:p>
        </w:tc>
        <w:tc>
          <w:tcPr>
            <w:tcW w:type="dxa" w:w="3600"/>
            <w:shd w:val="clear" w:color="auto" w:fill="1A3A5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1728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38099867</w:t>
            </w:r>
          </w:p>
        </w:tc>
        <w:tc>
          <w:tcPr>
            <w:tcW w:type="dxa" w:w="1152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432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ASRM Practice Committee, Fertil Steril 2024;121:230-245</w:t>
            </w:r>
          </w:p>
        </w:tc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Prevention of moderate and severe OHSS: a guideline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39582349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ESHRE Working Group, Human Reprod Update 2025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Ovarian stimulation for IVF/ICSI — OHSS prevention chapter</w:t>
            </w:r>
          </w:p>
        </w:tc>
      </w:tr>
      <w:tr>
        <w:tc>
          <w:tcPr>
            <w:tcW w:type="dxa" w:w="1728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38379288</w:t>
            </w:r>
          </w:p>
        </w:tc>
        <w:tc>
          <w:tcPr>
            <w:tcW w:type="dxa" w:w="1152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432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CFAS Clinical Practice Guideline</w:t>
            </w:r>
          </w:p>
        </w:tc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Management of moderate and severe OHSS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RCOG GTG No.5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2016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RCOG Green-top Guideline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Management of OHSS (vẫn áp dụng)</w:t>
            </w:r>
          </w:p>
        </w:tc>
      </w:tr>
      <w:tr>
        <w:tc>
          <w:tcPr>
            <w:tcW w:type="dxa" w:w="1728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BFS 2016</w:t>
            </w:r>
          </w:p>
        </w:tc>
        <w:tc>
          <w:tcPr>
            <w:tcW w:type="dxa" w:w="1152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2016</w:t>
            </w:r>
          </w:p>
        </w:tc>
        <w:tc>
          <w:tcPr>
            <w:tcW w:type="dxa" w:w="432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British Fertility Society, Kang et al.</w:t>
            </w:r>
          </w:p>
        </w:tc>
        <w:tc>
          <w:tcPr>
            <w:tcW w:type="dxa" w:w="3600"/>
            <w:shd w:val="clear" w:color="auto" w:fill="EAF4F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Management of OHSS — Guidelines</w:t>
            </w:r>
          </w:p>
        </w:tc>
      </w:tr>
    </w:tbl>
    <w:p/>
    <w:p>
      <w:pPr>
        <w:pStyle w:val="Heading1"/>
        <w:jc w:val="left"/>
      </w:pPr>
      <w:r>
        <w:rPr>
          <w:color w:val="1A3A5C"/>
        </w:rPr>
        <w:t>8. ĐIỂM MẤU CHỐT CHO LƯỢNG GIÁ</w:t>
      </w:r>
    </w:p>
    <w:p>
      <w:pPr>
        <w:ind w:left="0"/>
      </w:pPr>
      <w:r>
        <w:rPr>
          <w:rFonts w:ascii="Times New Roman" w:hAnsi="Times New Roman"/>
          <w:b/>
          <w:color w:val="007A8A"/>
          <w:sz w:val="22"/>
        </w:rPr>
        <w:t xml:space="preserve">1. </w:t>
      </w:r>
      <w:r>
        <w:rPr>
          <w:rFonts w:ascii="Times New Roman" w:hAnsi="Times New Roman"/>
          <w:sz w:val="22"/>
        </w:rPr>
        <w:t>OHSS = VEGF-driven capillary leak — tất cả phòng ngừa/điều trị đều nhắm vào đây</w:t>
      </w:r>
    </w:p>
    <w:p>
      <w:pPr>
        <w:ind w:left="0"/>
      </w:pPr>
      <w:r>
        <w:rPr>
          <w:rFonts w:ascii="Times New Roman" w:hAnsi="Times New Roman"/>
          <w:b/>
          <w:color w:val="007A8A"/>
          <w:sz w:val="22"/>
        </w:rPr>
        <w:t xml:space="preserve">2. </w:t>
      </w:r>
      <w:r>
        <w:rPr>
          <w:rFonts w:ascii="Times New Roman" w:hAnsi="Times New Roman"/>
          <w:sz w:val="22"/>
        </w:rPr>
        <w:t>GnRH agonist trigger là chiến lược giảm OHSS hiệu quả nhất (giảm ~70-80% vs hCG)</w:t>
      </w:r>
    </w:p>
    <w:p>
      <w:pPr>
        <w:ind w:left="0"/>
      </w:pPr>
      <w:r>
        <w:rPr>
          <w:rFonts w:ascii="Times New Roman" w:hAnsi="Times New Roman"/>
          <w:b/>
          <w:color w:val="007A8A"/>
          <w:sz w:val="22"/>
        </w:rPr>
        <w:t xml:space="preserve">3. </w:t>
      </w:r>
      <w:r>
        <w:rPr>
          <w:rFonts w:ascii="Times New Roman" w:hAnsi="Times New Roman"/>
          <w:sz w:val="22"/>
        </w:rPr>
        <w:t>Freeze-all = giải pháp tối ưu cho nguy cơ cao — loại bỏ hCG nội sinh từ thai</w:t>
      </w:r>
    </w:p>
    <w:p>
      <w:pPr>
        <w:ind w:left="0"/>
      </w:pPr>
      <w:r>
        <w:rPr>
          <w:rFonts w:ascii="Times New Roman" w:hAnsi="Times New Roman"/>
          <w:b/>
          <w:color w:val="007A8A"/>
          <w:sz w:val="22"/>
        </w:rPr>
        <w:t xml:space="preserve">4. </w:t>
      </w:r>
      <w:r>
        <w:rPr>
          <w:rFonts w:ascii="Times New Roman" w:hAnsi="Times New Roman"/>
          <w:sz w:val="22"/>
        </w:rPr>
        <w:t>Không dùng metformin/letrozole đơn độc phòng OHSS (ASRM 2024)</w:t>
      </w:r>
    </w:p>
    <w:p>
      <w:pPr>
        <w:ind w:left="0"/>
      </w:pPr>
      <w:r>
        <w:rPr>
          <w:rFonts w:ascii="Times New Roman" w:hAnsi="Times New Roman"/>
          <w:b/>
          <w:color w:val="007A8A"/>
          <w:sz w:val="22"/>
        </w:rPr>
        <w:t xml:space="preserve">5. </w:t>
      </w:r>
      <w:r>
        <w:rPr>
          <w:rFonts w:ascii="Times New Roman" w:hAnsi="Times New Roman"/>
          <w:sz w:val="22"/>
        </w:rPr>
        <w:t>Nhập viện khi: Hct &gt;48%, oligo, Cr tăng, khó thở, pleural effusion</w:t>
      </w:r>
    </w:p>
    <w:p>
      <w:pPr>
        <w:ind w:left="0"/>
      </w:pPr>
      <w:r>
        <w:rPr>
          <w:rFonts w:ascii="Times New Roman" w:hAnsi="Times New Roman"/>
          <w:b/>
          <w:color w:val="007A8A"/>
          <w:sz w:val="22"/>
        </w:rPr>
        <w:t xml:space="preserve">6. </w:t>
      </w:r>
      <w:r>
        <w:rPr>
          <w:rFonts w:ascii="Times New Roman" w:hAnsi="Times New Roman"/>
          <w:sz w:val="22"/>
        </w:rPr>
        <w:t>Cabergoline = cheap, effective, an toàn (dopamine agonist, ức chế VEGF)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D6D7E"/>
        <w:sz w:val="16"/>
      </w:rPr>
      <w:t>OHSS Phòng ngừa &amp; Xử trí | 14/06/2026 | PMID 38099867 | Bác sĩ tự học sản phụ khoa — không thay thế hướng dẫn lâm sàng chính thức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