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Audit Report</w:t>
      </w:r>
    </w:p>
    <w:p>
      <w:r>
        <w:t>Bai hoc y khoa - citation_audit_18_06</w:t>
      </w:r>
    </w:p>
    <w:p>
      <w:pPr>
        <w:pStyle w:val="Title"/>
      </w:pPr>
      <w:r>
        <w:t>Citation Audit Report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</w:rPr>
        <w:t>F:\DL\mavisresearch\Bai hoc y khoa\02_Ho tro sinh san ART\09_Long_GnRH_Agonist_Protocol\Long GnRH Agonist Protocol - 2026-06-18.docx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Total citations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Pass (OK)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Warn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Block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pStyle w:val="Heading1"/>
      </w:pPr>
      <w:r>
        <w:t>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Citation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Specific?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Verdict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36710334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38095077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35292717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28903472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37884809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38100935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36688363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36549997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26558801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 OK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39626004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(Q3 + specific claim, nên tìm Q1/Q2 source)</w:t>
            </w:r>
          </w:p>
        </w:tc>
      </w:tr>
    </w:tbl>
    <w:p>
      <w:pPr>
        <w:pStyle w:val="Heading1"/>
      </w:pPr>
      <w:r>
        <w:t>Paper Details</w:t>
      </w:r>
    </w:p>
    <w:p>
      <w:pPr>
        <w:pStyle w:val="ListBullet"/>
      </w:pPr>
      <w:r>
        <w:rPr>
          <w:b/>
        </w:rPr>
        <w:t>#1 PMID 36710334</w:t>
      </w:r>
      <w:r>
        <w:t xml:space="preserve"> (2023): Stop GnRH-agonist/GnRH-antagonist protocol: a different insight on ovarian stimulation for IVF. — </w:t>
      </w:r>
      <w:r>
        <w:rPr>
          <w:i/>
        </w:rPr>
        <w:t>Reprod Biol Endocrinol</w:t>
      </w:r>
      <w:r>
        <w:t xml:space="preserve"> — Orvieto R</w:t>
      </w:r>
    </w:p>
    <w:p>
      <w:pPr>
        <w:pStyle w:val="ListBullet"/>
      </w:pPr>
      <w:r>
        <w:rPr>
          <w:b/>
        </w:rPr>
        <w:t>#2 PMID 38095077</w:t>
      </w:r>
      <w:r>
        <w:t xml:space="preserve"> (2023): Live birth rate of gonadotropin-releasing hormone antagonist versus luteal phase gonadotropin-releas — </w:t>
      </w:r>
      <w:r>
        <w:rPr>
          <w:i/>
        </w:rPr>
        <w:t>Expert Rev Mol Med</w:t>
      </w:r>
      <w:r>
        <w:t xml:space="preserve"> — Liu C</w:t>
      </w:r>
    </w:p>
    <w:p>
      <w:pPr>
        <w:pStyle w:val="ListBullet"/>
      </w:pPr>
      <w:r>
        <w:rPr>
          <w:b/>
        </w:rPr>
        <w:t>#3 PMID 35292717</w:t>
      </w:r>
      <w:r>
        <w:t xml:space="preserve"> (2022): Conventional GnRH antagonist protocols versus long GnRH agonist protocol in IVF/ICSI cycles of polyc — </w:t>
      </w:r>
      <w:r>
        <w:rPr>
          <w:i/>
        </w:rPr>
        <w:t>Sci Rep</w:t>
      </w:r>
      <w:r>
        <w:t xml:space="preserve"> — Kadoura S</w:t>
      </w:r>
    </w:p>
    <w:p>
      <w:pPr>
        <w:pStyle w:val="ListBullet"/>
      </w:pPr>
      <w:r>
        <w:rPr>
          <w:b/>
        </w:rPr>
        <w:t>#4 PMID 28903472</w:t>
      </w:r>
      <w:r>
        <w:t xml:space="preserve"> (2017): GnRH antagonist versus long agonist protocols in IVF: a systematic review and meta-analysis accounti — </w:t>
      </w:r>
      <w:r>
        <w:rPr>
          <w:i/>
        </w:rPr>
        <w:t>Hum Reprod Update</w:t>
      </w:r>
      <w:r>
        <w:t xml:space="preserve"> — Lambalk CB</w:t>
      </w:r>
    </w:p>
    <w:p>
      <w:pPr>
        <w:pStyle w:val="ListBullet"/>
      </w:pPr>
      <w:r>
        <w:rPr>
          <w:b/>
        </w:rPr>
        <w:t>#5 PMID 37884809</w:t>
      </w:r>
      <w:r>
        <w:t xml:space="preserve"> (2024): Optimizing FSH Concentration Modulation in the Short-Acting GnRH-a Long Protocol for IVF/ICSI: A Ret — </w:t>
      </w:r>
      <w:r>
        <w:rPr>
          <w:i/>
        </w:rPr>
        <w:t>Adv Ther</w:t>
      </w:r>
      <w:r>
        <w:t xml:space="preserve"> — Hu L</w:t>
      </w:r>
    </w:p>
    <w:p>
      <w:pPr>
        <w:pStyle w:val="ListBullet"/>
      </w:pPr>
      <w:r>
        <w:rPr>
          <w:b/>
        </w:rPr>
        <w:t>#6 PMID 38100935</w:t>
      </w:r>
      <w:r>
        <w:t xml:space="preserve"> (2024): IVF stimulation protocols and outcomes in women with endometriosis. — </w:t>
      </w:r>
      <w:r>
        <w:rPr>
          <w:i/>
        </w:rPr>
        <w:t>Best Pract Res Clin Obstet Gynaecol</w:t>
      </w:r>
      <w:r>
        <w:t xml:space="preserve"> — Goyri E</w:t>
      </w:r>
    </w:p>
    <w:p>
      <w:pPr>
        <w:pStyle w:val="ListBullet"/>
      </w:pPr>
      <w:r>
        <w:rPr>
          <w:b/>
        </w:rPr>
        <w:t>#7 PMID 36688363</w:t>
      </w:r>
      <w:r>
        <w:t xml:space="preserve"> (2023): Is the long-acting gonadotropin-releasing hormone agonist long protocol better for patients with end — </w:t>
      </w:r>
      <w:r>
        <w:rPr>
          <w:i/>
        </w:rPr>
        <w:t>Int J Gynaecol Obstet</w:t>
      </w:r>
      <w:r>
        <w:t xml:space="preserve"> — Wang X</w:t>
      </w:r>
    </w:p>
    <w:p>
      <w:pPr>
        <w:pStyle w:val="ListBullet"/>
      </w:pPr>
      <w:r>
        <w:rPr>
          <w:b/>
        </w:rPr>
        <w:t>#8 PMID 36549997</w:t>
      </w:r>
      <w:r>
        <w:t xml:space="preserve"> (2023): The effect of adenomyosis types on clinical outcomes of IVF embryo transfer after ultra-long GnRH ag — </w:t>
      </w:r>
      <w:r>
        <w:rPr>
          <w:i/>
        </w:rPr>
        <w:t>Reprod Biomed Online</w:t>
      </w:r>
      <w:r>
        <w:t xml:space="preserve"> — Han B</w:t>
      </w:r>
    </w:p>
    <w:p>
      <w:pPr>
        <w:pStyle w:val="ListBullet"/>
      </w:pPr>
      <w:r>
        <w:rPr>
          <w:b/>
        </w:rPr>
        <w:t>#9 PMID 26558801</w:t>
      </w:r>
      <w:r>
        <w:t xml:space="preserve"> (2015): Gonadotrophin-releasing hormone agonist protocols for pituitary suppression in assisted reproduction — </w:t>
      </w:r>
      <w:r>
        <w:rPr>
          <w:i/>
        </w:rPr>
        <w:t>Cochrane Database Syst Rev</w:t>
      </w:r>
      <w:r>
        <w:t xml:space="preserve"> — Siristatidis CS</w:t>
      </w:r>
    </w:p>
    <w:p>
      <w:pPr>
        <w:pStyle w:val="ListBullet"/>
      </w:pPr>
      <w:r>
        <w:rPr>
          <w:b/>
        </w:rPr>
        <w:t>#10 PMID 39626004</w:t>
      </w:r>
      <w:r>
        <w:t xml:space="preserve"> (2024): Could the use of agonist protocols benefit patients who do not respond well to human reproduction tr — </w:t>
      </w:r>
      <w:r>
        <w:rPr>
          <w:i/>
        </w:rPr>
        <w:t>JBRA Assist Reprod</w:t>
      </w:r>
      <w:r>
        <w:t xml:space="preserve"> — Vaz GQ</w:t>
      </w:r>
    </w:p>
    <w:p/>
    <w:p>
      <w:r>
        <w:rPr>
          <w:i/>
        </w:rPr>
        <w:t>Generated by citation_audit.py at 2026-06-19 15:34:28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