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Nội mạc tử cung tiếp nhận &amp; Siêu âm nâng cao trong IVF</w:t>
      </w:r>
    </w:p>
    <w:p>
      <w:pPr>
        <w:pStyle w:val="Title"/>
      </w:pPr>
      <w:r>
        <w:t>Nội mạc tử cung tiếp nhận &amp; Siêu âm nâng cao trong IVF</w:t>
      </w:r>
    </w:p>
    <w:p>
      <w:r>
        <w:rPr>
          <w:b/>
        </w:rPr>
        <w:t>Ngày</w:t>
      </w:r>
      <w:r>
        <w:t xml:space="preserve">: 2026-06-21  </w:t>
      </w:r>
    </w:p>
    <w:p>
      <w:r>
        <w:rPr>
          <w:b/>
        </w:rPr>
        <w:t>Chuyên đề</w:t>
      </w:r>
      <w:r>
        <w:t xml:space="preserve">: ERA test và tranh cãi, ESHRE 2023 RIF guideline, độ dày nội mạc, thể tích nội mạc 3D, Doppler động mạch tử cung, cửa sổ làm tổ (WOI)  </w:t>
      </w:r>
    </w:p>
    <w:p>
      <w:r>
        <w:rPr>
          <w:b/>
        </w:rPr>
        <w:t>Phan loai</w:t>
      </w:r>
      <w:r>
        <w:t>: ART</w:t>
      </w:r>
    </w:p>
    <w:p>
      <w:pPr>
        <w:pStyle w:val="Heading1"/>
      </w:pPr>
      <w:r>
        <w:t>Tai lieu tham khao</w:t>
      </w:r>
    </w:p>
    <w:p>
      <w:pPr>
        <w:pStyle w:val="ListBullet"/>
      </w:pPr>
      <w:r>
        <w:rPr>
          <w:b/>
        </w:rPr>
        <w:t>[ESHRE 2023 - RIF Good Practice]</w:t>
      </w:r>
      <w:r>
        <w:t xml:space="preserve"> ESHRE good practice recommendations on recurrent implantation failure. </w:t>
      </w:r>
      <w:r>
        <w:rPr>
          <w:i/>
        </w:rPr>
        <w:t>Hum Reprod Open</w:t>
      </w:r>
      <w:r>
        <w:t xml:space="preserve"> 2023. PMID: 37332387</w:t>
      </w:r>
    </w:p>
    <w:p>
      <w:pPr>
        <w:pStyle w:val="ListBullet"/>
      </w:pPr>
      <w:r>
        <w:t xml:space="preserve">[Arian SE et al., Fertil Steril 2023] Endometrial receptivity array before frozen embryo transfer cycles: a systematic review and meta-analysis. </w:t>
      </w:r>
      <w:r>
        <w:rPr>
          <w:i/>
        </w:rPr>
        <w:t>Fertil Steril</w:t>
      </w:r>
      <w:r>
        <w:t xml:space="preserve"> 2023. PMID: 36414088</w:t>
      </w:r>
    </w:p>
    <w:p>
      <w:pPr>
        <w:pStyle w:val="ListBullet"/>
      </w:pPr>
      <w:r>
        <w:t xml:space="preserve">[Glujovsky D et al., Hum Reprod 2023] Personalized embryo transfer guided by endometrial receptivity analysis: a systematic review with meta-analysis. </w:t>
      </w:r>
      <w:r>
        <w:rPr>
          <w:i/>
        </w:rPr>
        <w:t>Hum Reprod</w:t>
      </w:r>
      <w:r>
        <w:t xml:space="preserve"> 2023. PMID: 37203432</w:t>
      </w:r>
    </w:p>
    <w:p>
      <w:pPr>
        <w:pStyle w:val="ListBullet"/>
      </w:pPr>
      <w:r>
        <w:t xml:space="preserve">[Craciunas L et al., Hum Reprod Update 2019] Conventional and modern markers of endometrial receptivity: a systematic review and meta-analysis. </w:t>
      </w:r>
      <w:r>
        <w:rPr>
          <w:i/>
        </w:rPr>
        <w:t>Hum Reprod Update</w:t>
      </w:r>
      <w:r>
        <w:t xml:space="preserve"> 2019. PMID: 30624659</w:t>
      </w:r>
    </w:p>
    <w:p>
      <w:pPr>
        <w:pStyle w:val="ListBullet"/>
      </w:pPr>
      <w:r>
        <w:t xml:space="preserve">[Gao G et al., Reprod Biomed Online 2020] Endometrial thickness and IVF cycle outcomes: a meta-analysis. </w:t>
      </w:r>
      <w:r>
        <w:rPr>
          <w:i/>
        </w:rPr>
        <w:t>Reprod Biomed Online</w:t>
      </w:r>
      <w:r>
        <w:t xml:space="preserve"> 2020. PMID: 31786047</w:t>
      </w:r>
    </w:p>
    <w:p>
      <w:pPr>
        <w:pStyle w:val="ListBullet"/>
      </w:pPr>
      <w:r>
        <w:t xml:space="preserve">[Liao Z et al., Front Endocrinol 2022] The Effect of Endometrial Thickness on Pregnancy, Maternal, and Perinatal Outcomes of Women in Fresh Cycles After IVF/ICSI: A Systematic Review and Meta-Analysis. </w:t>
      </w:r>
      <w:r>
        <w:rPr>
          <w:i/>
        </w:rPr>
        <w:t>Front Endocrinol (Lausanne)</w:t>
      </w:r>
      <w:r>
        <w:t xml:space="preserve"> 2022. PMID: 35222264</w:t>
      </w:r>
    </w:p>
    <w:p>
      <w:pPr>
        <w:pStyle w:val="ListBullet"/>
      </w:pPr>
      <w:r>
        <w:t xml:space="preserve">[Liu Y et al., Quant Imaging Med Surg 2023] Using 2D/3D ultrasound observation of endometrial thickness, endometrial volume, and blood flow changes to predict the outcome of frozen embryo transfer cycles. </w:t>
      </w:r>
      <w:r>
        <w:rPr>
          <w:i/>
        </w:rPr>
        <w:t>Quant Imaging Med Surg</w:t>
      </w:r>
      <w:r>
        <w:t xml:space="preserve"> 2023. PMID: 37284089</w:t>
      </w:r>
    </w:p>
    <w:p>
      <w:pPr>
        <w:pStyle w:val="ListBullet"/>
      </w:pPr>
      <w:r>
        <w:t xml:space="preserve">[Ma J et al., Front Endocrinol 2023] Recurrent implantation failure: A comprehensive summary from etiology to treatment. </w:t>
      </w:r>
      <w:r>
        <w:rPr>
          <w:i/>
        </w:rPr>
        <w:t>Front Endocrinol (Lausanne)</w:t>
      </w:r>
      <w:r>
        <w:t xml:space="preserve"> 2023. PMID: 36686483</w:t>
      </w:r>
    </w:p>
    <w:p>
      <w:pPr>
        <w:pStyle w:val="ListBullet"/>
      </w:pPr>
      <w:r>
        <w:t xml:space="preserve">[Mei Y et al., Front Endocrinol 2023] Does endometrial receptivity array improve reproductive outcomes in euploid embryo transfer cycles? a systematic review. </w:t>
      </w:r>
      <w:r>
        <w:rPr>
          <w:i/>
        </w:rPr>
        <w:t>Front Endocrinol (Lausanne)</w:t>
      </w:r>
      <w:r>
        <w:t xml:space="preserve"> 2023. PMID: 37964969</w:t>
      </w:r>
    </w:p>
    <w:p>
      <w:pPr>
        <w:pStyle w:val="ListBullet"/>
      </w:pPr>
      <w:r>
        <w:t xml:space="preserve">[Ruiz-Alonso M et al., Hum Reprod Open 2021] Endometrial Receptivity Analysis (ERA): data versus opinions. </w:t>
      </w:r>
      <w:r>
        <w:rPr>
          <w:i/>
        </w:rPr>
        <w:t>Hum Reprod Open</w:t>
      </w:r>
      <w:r>
        <w:t xml:space="preserve"> 2021. PMID: 33880420</w:t>
      </w:r>
    </w:p>
    <w:p>
      <w:pPr>
        <w:pStyle w:val="ListBullet"/>
      </w:pPr>
      <w:r>
        <w:t xml:space="preserve">[Ben Rafael Z, Hum Reprod Open 2021] Endometrial Receptivity Analysis (ERA) test: an unproven technology. </w:t>
      </w:r>
      <w:r>
        <w:rPr>
          <w:i/>
        </w:rPr>
        <w:t>Hum Reprod Open</w:t>
      </w:r>
      <w:r>
        <w:t xml:space="preserve"> 2021. PMID: 33880419</w:t>
      </w:r>
    </w:p>
    <w:p>
      <w:pPr>
        <w:pStyle w:val="ListBullet"/>
      </w:pPr>
      <w:r>
        <w:t xml:space="preserve">[Boza A et al., J Gynecol Obstet Hum Reprod 2020] Endometrial volume measured on the day of embryo transfer is not associated with live birth rates in IVF. </w:t>
      </w:r>
      <w:r>
        <w:rPr>
          <w:i/>
        </w:rPr>
        <w:t>J Gynecol Obstet Hum Reprod</w:t>
      </w:r>
      <w:r>
        <w:t xml:space="preserve"> 2020. PMID: 32330673</w:t>
      </w:r>
    </w:p>
    <w:p>
      <w:pPr>
        <w:pStyle w:val="ListBullet"/>
      </w:pPr>
      <w:r>
        <w:t xml:space="preserve">[Kliman HJ, Frankfurter D, Fertil Steril 2019] Clinical approach to recurrent implantation failure: evidence-based evaluation of the endometrium. </w:t>
      </w:r>
      <w:r>
        <w:rPr>
          <w:i/>
        </w:rPr>
        <w:t>Fertil Steril</w:t>
      </w:r>
      <w:r>
        <w:t xml:space="preserve"> 2019. PMID: 30929719</w:t>
      </w:r>
    </w:p>
    <w:p/>
    <w:p>
      <w:pPr>
        <w:pStyle w:val="Heading1"/>
      </w:pPr>
      <w:r>
        <w:t>1. Tổng quan Nội mạc tử cung tiếp nhận và Cửa sổ làm tổ</w:t>
      </w:r>
    </w:p>
    <w:p>
      <w:r>
        <w:rPr>
          <w:b/>
        </w:rPr>
        <w:t>Nội mạc tử cung tiếp nhận (endometrial receptivity)</w:t>
      </w:r>
      <w:r>
        <w:t xml:space="preserve"> là khả năng nội mạc tử cung (NMTC) cho phép phôi nang (blastocyst) làm tổ. Đây là bước giới hạn nhất của ART:</w:t>
      </w:r>
    </w:p>
    <w:p>
      <w:pPr>
        <w:pStyle w:val="ListBullet"/>
      </w:pPr>
      <w:r>
        <w:rPr>
          <w:b/>
        </w:rPr>
        <w:t>Phôi vs nội mạc</w:t>
      </w:r>
      <w:r>
        <w:t>: phôi chỉ giải thích 1/3 thất bại làm tổ; 2/3 còn lại do NMTC và đối thoại phôi-nội mạc [Craciunas-2019, PMID 30624659].</w:t>
      </w:r>
    </w:p>
    <w:p>
      <w:pPr>
        <w:pStyle w:val="ListBullet"/>
      </w:pPr>
      <w:r>
        <w:rPr>
          <w:b/>
        </w:rPr>
        <w:t>Cửa sổ làm tổ (Window of Implantation - WOI)</w:t>
      </w:r>
      <w:r>
        <w:t xml:space="preserve">: cửa sổ ~30-36 giờ khi NMTC tiếp nhận, diễn ra </w:t>
      </w:r>
      <w:r>
        <w:rPr>
          <w:b/>
        </w:rPr>
        <w:t>P+4 đến P+7</w:t>
      </w:r>
      <w:r>
        <w:t xml:space="preserve"> trong chu kỳ HRT (hormone replacement therapy), hoặc </w:t>
      </w:r>
      <w:r>
        <w:rPr>
          <w:b/>
        </w:rPr>
        <w:t>LH+6 đến LH+9</w:t>
      </w:r>
      <w:r>
        <w:t xml:space="preserve"> trong chu kỳ tự nhiên (natural cycle) [Ruiz-Alonso-2021, PMID 33880420].</w:t>
      </w:r>
    </w:p>
    <w:p>
      <w:pPr>
        <w:pStyle w:val="ListBullet"/>
      </w:pPr>
      <w:r>
        <w:rPr>
          <w:b/>
        </w:rPr>
        <w:t>WOI lệch (displaced WOI)</w:t>
      </w:r>
      <w:r>
        <w:t>: theo nhà phát triển ERA test, ~30% chu kỳ IVF có WOI bị lệch, tương tác phôi-nội mạc không đạt được [Ruiz-Alonso-2021].</w:t>
      </w:r>
    </w:p>
    <w:p>
      <w:pPr>
        <w:pStyle w:val="ListBullet"/>
      </w:pPr>
      <w:r>
        <w:rPr>
          <w:b/>
        </w:rPr>
        <w:t>ESHRE 2023 data</w:t>
      </w:r>
      <w:r>
        <w:t xml:space="preserve">: WOI lệch ở bệnh nhân RIF/tiên lượng xấu là </w:t>
      </w:r>
      <w:r>
        <w:rPr>
          <w:b/>
        </w:rPr>
        <w:t>34% (95% CI 24-43%)</w:t>
      </w:r>
      <w:r>
        <w:t xml:space="preserve"> theo meta-analysis 11 nghiên cứu [ESHRE-2023-RIF, PMID 37332387].</w:t>
      </w:r>
    </w:p>
    <w:p>
      <w:pPr>
        <w:ind w:left="567"/>
      </w:pPr>
      <w:r>
        <w:rPr>
          <w:b/>
          <w:i/>
        </w:rPr>
        <w:t>Lưu ý</w:t>
      </w:r>
      <w:r>
        <w:rPr>
          <w:i/>
        </w:rPr>
        <w:t>: Con số 30% của Ruiz-Alonso (2021) là ước tính từ nhà phát triển ERA test; con số 34% của Liu 2022 (trích trong ESHRE 2023) là tỷ lệ ở bệnh nhân RIF từ 11 nghiên cứu khác. Hai con số khác quần thể, không quy về cùng một nhóm.</w:t>
      </w:r>
    </w:p>
    <w:p>
      <w:pPr>
        <w:pStyle w:val="Heading1"/>
      </w:pPr>
      <w:r>
        <w:t>2. ERA Test - Cơ chế, bằng chứng và tranh cãi</w:t>
      </w:r>
    </w:p>
    <w:p>
      <w:r>
        <w:rPr>
          <w:b/>
        </w:rPr>
        <w:t>ERA (Endometrial Receptivity Analysis)</w:t>
      </w:r>
      <w:r>
        <w:t xml:space="preserve"> - xét nghiệm phân tích transcriptomic của NMTC bằng NGS (next-generation sequencing), cho phép phân loại: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Trạng thái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 lâm sàng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Proliferative (PRO)</w:t>
            </w:r>
          </w:p>
        </w:tc>
        <w:tc>
          <w:tcPr>
            <w:tcW w:type="dxa" w:w="2880"/>
            <w:tcBorders>
              <w:top w:val="single" w:sz="4" w:color="000000"/>
              <w:left w:val="single" w:sz="4" w:color="000000"/>
              <w:bottom w:val="single" w:sz="4" w:color="000000"/>
              <w:right w:val="single" w:sz="4" w:color="000000"/>
            </w:tcBorders>
          </w:tcPr>
          <w:p>
            <w:r/>
            <w:r>
              <w:t>NMTC đang tăng sinh</w:t>
            </w:r>
          </w:p>
        </w:tc>
        <w:tc>
          <w:tcPr>
            <w:tcW w:type="dxa" w:w="2880"/>
            <w:tcBorders>
              <w:top w:val="single" w:sz="4" w:color="000000"/>
              <w:left w:val="single" w:sz="4" w:color="000000"/>
              <w:bottom w:val="single" w:sz="4" w:color="000000"/>
              <w:right w:val="single" w:sz="4" w:color="000000"/>
            </w:tcBorders>
          </w:tcPr>
          <w:p>
            <w:r/>
            <w:r>
              <w:t>Tiếp tục estrogen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Pre-receptive (PRE)</w:t>
            </w:r>
          </w:p>
        </w:tc>
        <w:tc>
          <w:tcPr>
            <w:tcW w:type="dxa" w:w="2880"/>
            <w:tcBorders>
              <w:top w:val="single" w:sz="4" w:color="000000"/>
              <w:left w:val="single" w:sz="4" w:color="000000"/>
              <w:bottom w:val="single" w:sz="4" w:color="000000"/>
              <w:right w:val="single" w:sz="4" w:color="000000"/>
            </w:tcBorders>
          </w:tcPr>
          <w:p>
            <w:r/>
            <w:r>
              <w:t>NMTC chưa sẵn sàng</w:t>
            </w:r>
          </w:p>
        </w:tc>
        <w:tc>
          <w:tcPr>
            <w:tcW w:type="dxa" w:w="2880"/>
            <w:tcBorders>
              <w:top w:val="single" w:sz="4" w:color="000000"/>
              <w:left w:val="single" w:sz="4" w:color="000000"/>
              <w:bottom w:val="single" w:sz="4" w:color="000000"/>
              <w:right w:val="single" w:sz="4" w:color="000000"/>
            </w:tcBorders>
          </w:tcPr>
          <w:p>
            <w:r/>
            <w:r>
              <w:t>Tăng thời gian progesterone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Receptive (R)</w:t>
            </w:r>
          </w:p>
        </w:tc>
        <w:tc>
          <w:tcPr>
            <w:tcW w:type="dxa" w:w="2880"/>
            <w:tcBorders>
              <w:top w:val="single" w:sz="4" w:color="000000"/>
              <w:left w:val="single" w:sz="4" w:color="000000"/>
              <w:bottom w:val="single" w:sz="4" w:color="000000"/>
              <w:right w:val="single" w:sz="4" w:color="000000"/>
            </w:tcBorders>
          </w:tcPr>
          <w:p>
            <w:r/>
            <w:r>
              <w:t>Sẵn sàng cho ET</w:t>
            </w:r>
          </w:p>
        </w:tc>
        <w:tc>
          <w:tcPr>
            <w:tcW w:type="dxa" w:w="2880"/>
            <w:tcBorders>
              <w:top w:val="single" w:sz="4" w:color="000000"/>
              <w:left w:val="single" w:sz="4" w:color="000000"/>
              <w:bottom w:val="single" w:sz="4" w:color="000000"/>
              <w:right w:val="single" w:sz="4" w:color="000000"/>
            </w:tcBorders>
          </w:tcPr>
          <w:p>
            <w:r/>
            <w:r>
              <w:t>Chuyển phôi theo lịch ET bình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Post-receptive (POST)</w:t>
            </w:r>
          </w:p>
        </w:tc>
        <w:tc>
          <w:tcPr>
            <w:tcW w:type="dxa" w:w="2880"/>
            <w:tcBorders>
              <w:top w:val="single" w:sz="4" w:color="000000"/>
              <w:left w:val="single" w:sz="4" w:color="000000"/>
              <w:bottom w:val="single" w:sz="4" w:color="000000"/>
              <w:right w:val="single" w:sz="4" w:color="000000"/>
            </w:tcBorders>
          </w:tcPr>
          <w:p>
            <w:r/>
            <w:r>
              <w:t>Qua thời điểm</w:t>
            </w:r>
          </w:p>
        </w:tc>
        <w:tc>
          <w:tcPr>
            <w:tcW w:type="dxa" w:w="2880"/>
            <w:tcBorders>
              <w:top w:val="single" w:sz="4" w:color="000000"/>
              <w:left w:val="single" w:sz="4" w:color="000000"/>
              <w:bottom w:val="single" w:sz="4" w:color="000000"/>
              <w:right w:val="single" w:sz="4" w:color="000000"/>
            </w:tcBorders>
          </w:tcPr>
          <w:p>
            <w:r/>
            <w:r>
              <w:t>Giảm thời gian progesterone</w:t>
            </w:r>
          </w:p>
        </w:tc>
      </w:tr>
    </w:tbl>
    <w:p>
      <w:r>
        <w:rPr>
          <w:b/>
        </w:rPr>
        <w:t>Personalized Embryo Transfer (pET)</w:t>
      </w:r>
      <w:r>
        <w:t>: chuyển phôi theo WOI riêng của từng bệnh nhân, đối với standard ET (sET) theo protocol cố định.</w:t>
      </w:r>
    </w:p>
    <w:p>
      <w:pPr>
        <w:pStyle w:val="Heading2"/>
      </w:pPr>
      <w:r>
        <w:t>Bằng chứng từ 3 meta-analysis gần đây</w:t>
      </w:r>
    </w:p>
    <w:p>
      <w:r>
        <w:rPr>
          <w:b/>
        </w:rPr>
        <w:t>Arian 2023</w:t>
      </w:r>
      <w:r>
        <w:t xml:space="preserve"> (Fertil Steril, 8 nghiên cứu, n=2.784) [Arian-2023, PMID 36414088]:</w:t>
      </w:r>
    </w:p>
    <w:p>
      <w:pPr>
        <w:pStyle w:val="ListBullet"/>
      </w:pPr>
      <w:r>
        <w:t xml:space="preserve">Tỷ lệ sinh sống/thai kỳ tiếp tục: </w:t>
      </w:r>
      <w:r>
        <w:rPr>
          <w:b/>
        </w:rPr>
        <w:t>OR 1,38 (95% CI 0,79-2,41), I² 83,0%</w:t>
      </w:r>
      <w:r>
        <w:t xml:space="preserve"> - KHÔNG khác biệt</w:t>
      </w:r>
    </w:p>
    <w:p>
      <w:pPr>
        <w:pStyle w:val="ListBullet"/>
      </w:pPr>
      <w:r>
        <w:t>Tỷ lệ làm tổ, thai sinh hóa, thai lâm sàng, sẩy thai không khác biệt</w:t>
      </w:r>
    </w:p>
    <w:p>
      <w:pPr>
        <w:pStyle w:val="ListBullet"/>
      </w:pPr>
      <w:r>
        <w:t>Kết luận: ERA không làm tăng tỷ lệ thai sau FET</w:t>
      </w:r>
    </w:p>
    <w:p>
      <w:r>
        <w:rPr>
          <w:b/>
        </w:rPr>
        <w:t>Glujovsky 2023</w:t>
      </w:r>
      <w:r>
        <w:t xml:space="preserve"> (Hum Reprod, 35 nghiên cứu) [Glujovsky-2023, PMID 37203432]:</w:t>
      </w:r>
    </w:p>
    <w:p>
      <w:pPr>
        <w:pStyle w:val="ListBullet"/>
      </w:pPr>
      <w:r>
        <w:t>85% nghiên cứu sử dụng ERA, 15% sử dụng TER khác</w:t>
      </w:r>
    </w:p>
    <w:p>
      <w:pPr>
        <w:pStyle w:val="ListBullet"/>
      </w:pPr>
      <w:r>
        <w:rPr>
          <w:b/>
        </w:rPr>
        <w:t>Phụ nữ KHÔNG có RIF</w:t>
      </w:r>
      <w:r>
        <w:t>: không khác biệt tỷ lệ sinh sống, thai lâm sàng (moderate CoE)</w:t>
      </w:r>
    </w:p>
    <w:p>
      <w:pPr>
        <w:pStyle w:val="ListBullet"/>
      </w:pPr>
      <w:r>
        <w:rPr>
          <w:b/>
        </w:rPr>
        <w:t>Phụ nữ có RIF</w:t>
      </w:r>
      <w:r>
        <w:t>: cần thêm nghiên cứu để đánh giá lợi ích tiềm tàng</w:t>
      </w:r>
    </w:p>
    <w:p>
      <w:r>
        <w:rPr>
          <w:b/>
        </w:rPr>
        <w:t>Mei 2023</w:t>
      </w:r>
      <w:r>
        <w:t xml:space="preserve"> (Front Endocrinol, euploid embryo transfer) [Mei-2023, PMID 37964969]:</w:t>
      </w:r>
    </w:p>
    <w:p>
      <w:pPr>
        <w:pStyle w:val="ListBullet"/>
      </w:pPr>
      <w:r>
        <w:t>ERA KHÔNG tối ưu hóa kết quả sinh sản trong chu kỳ chuyển phôi euploid</w:t>
      </w:r>
    </w:p>
    <w:p>
      <w:pPr>
        <w:pStyle w:val="ListBullet"/>
      </w:pPr>
      <w:r>
        <w:t>Không kể bệnh nhân có hay không có tiền sử thất bại ET trước</w:t>
      </w:r>
    </w:p>
    <w:p>
      <w:pPr>
        <w:pStyle w:val="Heading2"/>
      </w:pPr>
      <w:r>
        <w:t>Tranh cãi PRO vs CON</w:t>
      </w:r>
    </w:p>
    <w:p>
      <w:r>
        <w:rPr>
          <w:b/>
        </w:rPr>
        <w:t>PRO (Ruiz-Alonso 2021, nhà phát triển IGG)</w:t>
      </w:r>
      <w:r>
        <w:t xml:space="preserve"> [Ruiz-Alonso-2021, PMID 33880420]:</w:t>
      </w:r>
    </w:p>
    <w:p>
      <w:pPr>
        <w:pStyle w:val="ListBullet"/>
      </w:pPr>
      <w:r>
        <w:t>WOI thực sự tồn tại và có thể bị lệch</w:t>
      </w:r>
    </w:p>
    <w:p>
      <w:pPr>
        <w:pStyle w:val="ListBullet"/>
      </w:pPr>
      <w:r>
        <w:t>30% chu kỳ IVF có WOI lệch (theo nhà phát triển)</w:t>
      </w:r>
    </w:p>
    <w:p>
      <w:pPr>
        <w:pStyle w:val="ListBullet"/>
      </w:pPr>
      <w:r>
        <w:t>pET cần đồng bộ phôi với WOI riêng</w:t>
      </w:r>
    </w:p>
    <w:p>
      <w:r>
        <w:t>CON (Ben Rafael 2021, phản biện)** [BenRafael-2021, PMID 33880419]:</w:t>
      </w:r>
    </w:p>
    <w:p>
      <w:pPr>
        <w:pStyle w:val="ListBullet"/>
      </w:pPr>
      <w:r>
        <w:rPr>
          <w:b/>
        </w:rPr>
        <w:t>Hạn chế</w:t>
      </w:r>
      <w:r>
        <w:t>: không nhất quán sinh thiết, biến đổi gen, chưa tính progesterone huyết thanh, nguy cơ chu sinh từ trữ đông phôi</w:t>
      </w:r>
    </w:p>
    <w:p>
      <w:pPr>
        <w:pStyle w:val="ListBullet"/>
      </w:pPr>
      <w:r>
        <w:t>WOI ±12 giờ chỉ là giả thuyết; cửa sổ thực ra kéo dài vài ngày</w:t>
      </w:r>
    </w:p>
    <w:p>
      <w:pPr>
        <w:pStyle w:val="ListBullet"/>
      </w:pPr>
      <w:r>
        <w:t>Chưa giải quyết được biến thiên trong cùng bệnh nhân (intra-patient variation)</w:t>
      </w:r>
    </w:p>
    <w:p>
      <w:pPr>
        <w:pStyle w:val="ListBullet"/>
      </w:pPr>
      <w:r>
        <w:t>'Ít có bằng chứng ERA có thể cải thiện đáng kể tỷ lệ thành công làm tổ'</w:t>
      </w:r>
    </w:p>
    <w:p>
      <w:pPr>
        <w:pStyle w:val="Heading2"/>
      </w:pPr>
      <w:r>
        <w:t>ESHRE 2023 RIF Guideline - kết luận chính thức</w:t>
      </w:r>
    </w:p>
    <w:p>
      <w:r>
        <w:rPr>
          <w:b/>
        </w:rPr>
        <w:t>ESHRE 2023</w:t>
      </w:r>
      <w:r>
        <w:t xml:space="preserve"> [ESHRE-2023-RIF, PMID 37332387]:</w:t>
      </w:r>
    </w:p>
    <w:p>
      <w:pPr>
        <w:ind w:left="567"/>
      </w:pPr>
      <w:r>
        <w:rPr>
          <w:i/>
        </w:rPr>
        <w:t>'Không đủ bằng chứng để hỗ trợ việc sử dụng thường quy các xét nghiệm tiếp nhận nội mạc hiện có trong ART, cần thêm nghiên cứu để làm rõ giá trị của chúng.'</w:t>
      </w:r>
    </w:p>
    <w:p>
      <w:pPr>
        <w:pStyle w:val="ListBullet"/>
      </w:pPr>
      <w:r>
        <w:rPr>
          <w:b/>
        </w:rPr>
        <w:t>p-ET vs ET thường quy trong RIF</w:t>
      </w:r>
      <w:r>
        <w:t xml:space="preserve">: 40,7% vs 49,6% OPR/LBR, </w:t>
      </w:r>
      <w:r>
        <w:rPr>
          <w:b/>
        </w:rPr>
        <w:t>OR 0,94 (95% CI 0,70-1,26)</w:t>
      </w:r>
      <w:r>
        <w:t>, 6 nghiên cứu, n=2.552 (Liu 2022b)</w:t>
      </w:r>
    </w:p>
    <w:p>
      <w:pPr>
        <w:pStyle w:val="ListBullet"/>
      </w:pPr>
      <w:r>
        <w:t>Nghiên cứu đa trung tâm RCT 5 năm (Simón 2020): kết quả tương đương mỗi lần chuyển phôi; chỉ phân tích theo protocol cho thấy p-ET có tỷ lệ sinh sống tích lũy cao hơn</w:t>
      </w:r>
    </w:p>
    <w:p>
      <w:pPr>
        <w:pStyle w:val="ListBullet"/>
      </w:pPr>
      <w:r>
        <w:t>Propensity score-matched (Bergin 2021): không cải thiện có ý nghĩa</w:t>
      </w:r>
    </w:p>
    <w:p>
      <w:pPr>
        <w:pStyle w:val="ListBullet"/>
      </w:pPr>
      <w:r>
        <w:t xml:space="preserve">Mã màu: ERA test = </w:t>
      </w:r>
      <w:r>
        <w:rPr>
          <w:b/>
        </w:rPr>
        <w:t>ORANGE</w:t>
      </w:r>
      <w:r>
        <w:t xml:space="preserve"> (cân nhắc) trong RIF, không phải </w:t>
      </w:r>
      <w:r>
        <w:rPr>
          <w:b/>
        </w:rPr>
        <w:t>GREEN</w:t>
      </w:r>
    </w:p>
    <w:p>
      <w:pPr>
        <w:pStyle w:val="Heading1"/>
      </w:pPr>
      <w:r>
        <w:t>3. Độ dày nội mạc (Endometrial Thickness - EMT) - Bằng chứng mạnh nhất</w:t>
      </w:r>
    </w:p>
    <w:p>
      <w:r>
        <w:rPr>
          <w:b/>
        </w:rPr>
        <w:t>Độ dày nội mạc (EMT)</w:t>
      </w:r>
      <w:r>
        <w:t xml:space="preserve"> đo bằng siêu âm đường âm đạo 2D, là marker kinh điển và có nhiều bằng chứng nhất trong đánh giá tiếp nhận.</w:t>
      </w:r>
    </w:p>
    <w:p>
      <w:pPr>
        <w:pStyle w:val="Heading2"/>
      </w:pPr>
      <w:r>
        <w:t>Meta-analysis Gao 2020 (30 nghiên cứu, 88.056 chu kỳ) [Gao-2020, PMID 31786047]</w:t>
      </w:r>
    </w:p>
    <w:p>
      <w:r>
        <w:t>So sánh EMT thấp vs EMT cao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Kết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 nghiên cứu</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OR (95% CI)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Tỷ lệ thai</w:t>
            </w:r>
          </w:p>
        </w:tc>
        <w:tc>
          <w:tcPr>
            <w:tcW w:type="dxa" w:w="2160"/>
            <w:tcBorders>
              <w:top w:val="single" w:sz="4" w:color="000000"/>
              <w:left w:val="single" w:sz="4" w:color="000000"/>
              <w:bottom w:val="single" w:sz="4" w:color="000000"/>
              <w:right w:val="single" w:sz="4" w:color="000000"/>
            </w:tcBorders>
          </w:tcPr>
          <w:p>
            <w:r/>
            <w:r>
              <w:t>30</w:t>
            </w:r>
          </w:p>
        </w:tc>
        <w:tc>
          <w:tcPr>
            <w:tcW w:type="dxa" w:w="2160"/>
            <w:tcBorders>
              <w:top w:val="single" w:sz="4" w:color="000000"/>
              <w:left w:val="single" w:sz="4" w:color="000000"/>
              <w:bottom w:val="single" w:sz="4" w:color="000000"/>
              <w:right w:val="single" w:sz="4" w:color="000000"/>
            </w:tcBorders>
          </w:tcPr>
          <w:p>
            <w:r/>
            <w:r>
              <w:rPr>
                <w:b/>
              </w:rPr>
              <w:t>0,61 (0,52-0,70)</w:t>
            </w:r>
          </w:p>
        </w:tc>
        <w:tc>
          <w:tcPr>
            <w:tcW w:type="dxa" w:w="2160"/>
            <w:tcBorders>
              <w:top w:val="single" w:sz="4" w:color="000000"/>
              <w:left w:val="single" w:sz="4" w:color="000000"/>
              <w:bottom w:val="single" w:sz="4" w:color="000000"/>
              <w:right w:val="single" w:sz="4" w:color="000000"/>
            </w:tcBorders>
          </w:tcPr>
          <w:p>
            <w:r/>
            <w:r>
              <w:t>&lt;0,001</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Tỷ lệ làm tổ</w:t>
            </w:r>
          </w:p>
        </w:tc>
        <w:tc>
          <w:tcPr>
            <w:tcW w:type="dxa" w:w="2160"/>
            <w:tcBorders>
              <w:top w:val="single" w:sz="4" w:color="000000"/>
              <w:left w:val="single" w:sz="4" w:color="000000"/>
              <w:bottom w:val="single" w:sz="4" w:color="000000"/>
              <w:right w:val="single" w:sz="4" w:color="000000"/>
            </w:tcBorders>
          </w:tcPr>
          <w:p>
            <w:r/>
            <w:r>
              <w:t>9</w:t>
            </w:r>
          </w:p>
        </w:tc>
        <w:tc>
          <w:tcPr>
            <w:tcW w:type="dxa" w:w="2160"/>
            <w:tcBorders>
              <w:top w:val="single" w:sz="4" w:color="000000"/>
              <w:left w:val="single" w:sz="4" w:color="000000"/>
              <w:bottom w:val="single" w:sz="4" w:color="000000"/>
              <w:right w:val="single" w:sz="4" w:color="000000"/>
            </w:tcBorders>
          </w:tcPr>
          <w:p>
            <w:r/>
            <w:r>
              <w:rPr>
                <w:b/>
              </w:rPr>
              <w:t>0,49 (0,32-0,74)</w:t>
            </w:r>
          </w:p>
        </w:tc>
        <w:tc>
          <w:tcPr>
            <w:tcW w:type="dxa" w:w="2160"/>
            <w:tcBorders>
              <w:top w:val="single" w:sz="4" w:color="000000"/>
              <w:left w:val="single" w:sz="4" w:color="000000"/>
              <w:bottom w:val="single" w:sz="4" w:color="000000"/>
              <w:right w:val="single" w:sz="4" w:color="000000"/>
            </w:tcBorders>
          </w:tcPr>
          <w:p>
            <w:r/>
            <w:r>
              <w:t>0,001</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Tỷ lệ sinh sống/thai tiếp tục</w:t>
            </w:r>
          </w:p>
        </w:tc>
        <w:tc>
          <w:tcPr>
            <w:tcW w:type="dxa" w:w="2160"/>
            <w:tcBorders>
              <w:top w:val="single" w:sz="4" w:color="000000"/>
              <w:left w:val="single" w:sz="4" w:color="000000"/>
              <w:bottom w:val="single" w:sz="4" w:color="000000"/>
              <w:right w:val="single" w:sz="4" w:color="000000"/>
            </w:tcBorders>
          </w:tcPr>
          <w:p>
            <w:r/>
            <w:r>
              <w:t>11</w:t>
            </w:r>
          </w:p>
        </w:tc>
        <w:tc>
          <w:tcPr>
            <w:tcW w:type="dxa" w:w="2160"/>
            <w:tcBorders>
              <w:top w:val="single" w:sz="4" w:color="000000"/>
              <w:left w:val="single" w:sz="4" w:color="000000"/>
              <w:bottom w:val="single" w:sz="4" w:color="000000"/>
              <w:right w:val="single" w:sz="4" w:color="000000"/>
            </w:tcBorders>
          </w:tcPr>
          <w:p>
            <w:r/>
            <w:r>
              <w:rPr>
                <w:b/>
              </w:rPr>
              <w:t>0,60 (0,48-0,73)</w:t>
            </w:r>
          </w:p>
        </w:tc>
        <w:tc>
          <w:tcPr>
            <w:tcW w:type="dxa" w:w="2160"/>
            <w:tcBorders>
              <w:top w:val="single" w:sz="4" w:color="000000"/>
              <w:left w:val="single" w:sz="4" w:color="000000"/>
              <w:bottom w:val="single" w:sz="4" w:color="000000"/>
              <w:right w:val="single" w:sz="4" w:color="000000"/>
            </w:tcBorders>
          </w:tcPr>
          <w:p>
            <w:r/>
            <w:r>
              <w:t>&lt;0,001</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Tỷ lệ sẩy thai</w:t>
            </w:r>
          </w:p>
        </w:tc>
        <w:tc>
          <w:tcPr>
            <w:tcW w:type="dxa" w:w="2160"/>
            <w:tcBorders>
              <w:top w:val="single" w:sz="4" w:color="000000"/>
              <w:left w:val="single" w:sz="4" w:color="000000"/>
              <w:bottom w:val="single" w:sz="4" w:color="000000"/>
              <w:right w:val="single" w:sz="4" w:color="000000"/>
            </w:tcBorders>
          </w:tcPr>
          <w:p>
            <w:r/>
            <w:r>
              <w:t>12</w:t>
            </w:r>
          </w:p>
        </w:tc>
        <w:tc>
          <w:tcPr>
            <w:tcW w:type="dxa" w:w="2160"/>
            <w:tcBorders>
              <w:top w:val="single" w:sz="4" w:color="000000"/>
              <w:left w:val="single" w:sz="4" w:color="000000"/>
              <w:bottom w:val="single" w:sz="4" w:color="000000"/>
              <w:right w:val="single" w:sz="4" w:color="000000"/>
            </w:tcBorders>
          </w:tcPr>
          <w:p>
            <w:r/>
            <w:r>
              <w:t>Không có ý nghĩa</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ngoài tử cung</w:t>
            </w:r>
          </w:p>
        </w:tc>
        <w:tc>
          <w:tcPr>
            <w:tcW w:type="dxa" w:w="2160"/>
            <w:tcBorders>
              <w:top w:val="single" w:sz="4" w:color="000000"/>
              <w:left w:val="single" w:sz="4" w:color="000000"/>
              <w:bottom w:val="single" w:sz="4" w:color="000000"/>
              <w:right w:val="single" w:sz="4" w:color="000000"/>
            </w:tcBorders>
          </w:tcPr>
          <w:p>
            <w:r/>
            <w:r>
              <w:t>3</w:t>
            </w:r>
          </w:p>
        </w:tc>
        <w:tc>
          <w:tcPr>
            <w:tcW w:type="dxa" w:w="2160"/>
            <w:tcBorders>
              <w:top w:val="single" w:sz="4" w:color="000000"/>
              <w:left w:val="single" w:sz="4" w:color="000000"/>
              <w:bottom w:val="single" w:sz="4" w:color="000000"/>
              <w:right w:val="single" w:sz="4" w:color="000000"/>
            </w:tcBorders>
          </w:tcPr>
          <w:p>
            <w:r/>
            <w:r>
              <w:t>Không có ý nghĩa</w:t>
            </w:r>
          </w:p>
        </w:tc>
        <w:tc>
          <w:tcPr>
            <w:tcW w:type="dxa" w:w="2160"/>
            <w:tcBorders>
              <w:top w:val="single" w:sz="4" w:color="000000"/>
              <w:left w:val="single" w:sz="4" w:color="000000"/>
              <w:bottom w:val="single" w:sz="4" w:color="000000"/>
              <w:right w:val="single" w:sz="4" w:color="000000"/>
            </w:tcBorders>
          </w:tcPr>
          <w:p>
            <w:r/>
            <w:r>
              <w:t>-</w:t>
            </w:r>
          </w:p>
        </w:tc>
      </w:tr>
    </w:tbl>
    <w:p>
      <w:r>
        <w:rPr>
          <w:b/>
        </w:rPr>
        <w:t>Ngưỡng thông thường</w:t>
      </w:r>
      <w:r>
        <w:t>: &lt;7 mm nội mạc mỏng; 7-14 mm bình thường; &gt;14 mm dày.</w:t>
      </w:r>
    </w:p>
    <w:p>
      <w:pPr>
        <w:pStyle w:val="Heading2"/>
      </w:pPr>
      <w:r>
        <w:t>Meta-analysis Liao 2021 (22 nghiên cứu) [Liao-2021, PMID 35222264]</w:t>
      </w:r>
    </w:p>
    <w:p>
      <w:pPr>
        <w:pStyle w:val="ListBullet"/>
      </w:pPr>
      <w:r>
        <w:rPr>
          <w:b/>
        </w:rPr>
        <w:t>Mỏng (&lt;7 mm)</w:t>
      </w:r>
      <w:r>
        <w:t>: giảm tỷ lệ sinh sống (LBR), thai lâm sàng (CPR), làm tổ (IR)</w:t>
      </w:r>
    </w:p>
    <w:p>
      <w:pPr>
        <w:pStyle w:val="ListBullet"/>
      </w:pPr>
      <w:r>
        <w:rPr>
          <w:b/>
        </w:rPr>
        <w:t>Dày (&gt;14 mm)</w:t>
      </w:r>
      <w:r>
        <w:t>: KHÔNG có tác động xấu</w:t>
      </w:r>
    </w:p>
    <w:p>
      <w:pPr>
        <w:pStyle w:val="ListBullet"/>
      </w:pPr>
      <w:r>
        <w:rPr>
          <w:b/>
        </w:rPr>
        <w:t>Mỏng (&lt;7,5 mm)</w:t>
      </w:r>
      <w:r>
        <w:t>: TĂNG nguy cơ rối loạn tăng huyết áp thai kỳ (HDP), thai nhỏ so với tuổi thai (SGA), giảm cân nặng sơ sinh</w:t>
      </w:r>
    </w:p>
    <w:p>
      <w:pPr>
        <w:ind w:left="567"/>
      </w:pPr>
      <w:r>
        <w:rPr>
          <w:b/>
          <w:i/>
        </w:rPr>
        <w:t>Ý nghĩa lâm sàng</w:t>
      </w:r>
      <w:r>
        <w:rPr>
          <w:i/>
        </w:rPr>
        <w:t>: Nội mạc mỏng không chỉ ảnh hưởng làm tổ mà còn tăng nguy cơ biến chứng sản khoa. Cần theo dõi thai kỳ chặt chẽ.</w:t>
      </w:r>
    </w:p>
    <w:p>
      <w:pPr>
        <w:pStyle w:val="Heading2"/>
      </w:pPr>
      <w:r>
        <w:t>Craciunas 2019 - Tổng quan các marker [Craciunas-2019, PMID 30624659]</w:t>
      </w:r>
    </w:p>
    <w:p>
      <w:r>
        <w:t>163 nghiên cứu, 88.834 phụ nữ. Kết luận quan trọng:</w:t>
      </w:r>
    </w:p>
    <w:p>
      <w:pPr>
        <w:pStyle w:val="ListBullet"/>
      </w:pPr>
      <w:r>
        <w:t>Có mối liên quan giữa thai lâm sàng và EMT, pattern, Doppler, wave-like activity, các phân tử khác nhau</w:t>
      </w:r>
    </w:p>
    <w:p>
      <w:pPr>
        <w:pStyle w:val="ListBullet"/>
      </w:pPr>
      <w:r>
        <w:rPr>
          <w:b/>
        </w:rPr>
        <w:t>Nhưng khả năng dự đoán đều kém</w:t>
      </w:r>
      <w:r>
        <w:t xml:space="preserve"> - không nên sử dụng đơn độc trong thực hành lâm sàng</w:t>
      </w:r>
    </w:p>
    <w:p>
      <w:pPr>
        <w:pStyle w:val="ListBullet"/>
      </w:pPr>
      <w:r>
        <w:rPr>
          <w:b/>
        </w:rPr>
        <w:t>Cửa sổ làm tổ có nhiều mức độ</w:t>
      </w:r>
      <w:r>
        <w:t xml:space="preserve"> (không chỉ có/không), nên báo cáo kết quả theo phân nhóm biomarker thay vì chỉ giá trị trung bình</w:t>
      </w:r>
    </w:p>
    <w:p>
      <w:pPr>
        <w:pStyle w:val="Heading1"/>
      </w:pPr>
      <w:r>
        <w:t>4. Thể tích nội mạc 3D - Tranh cãi</w:t>
      </w:r>
    </w:p>
    <w:p>
      <w:r>
        <w:rPr>
          <w:b/>
        </w:rPr>
        <w:t>Thể tích nội mạc (EV)</w:t>
      </w:r>
      <w:r>
        <w:t xml:space="preserve"> đo bằng siêu âm đường âm đạo 3D với phần mềm Virtual Organ Computer-aided Analysis (VOCAL). Kết quả gần đây </w:t>
      </w:r>
      <w:r>
        <w:rPr>
          <w:b/>
        </w:rPr>
        <w:t>tranh cãi</w:t>
      </w:r>
      <w:r>
        <w:t>:</w:t>
      </w:r>
    </w:p>
    <w:p>
      <w:pPr>
        <w:pStyle w:val="Heading2"/>
      </w:pPr>
      <w:r>
        <w:t>Nghiên cứu tích cực: Liu 2023 [Liu-2023-3D, PMID 37284089]</w:t>
      </w:r>
    </w:p>
    <w:p>
      <w:pPr>
        <w:pStyle w:val="ListBullet"/>
      </w:pPr>
      <w:r>
        <w:t>85 bệnh nhân FET, 71% có thai, 55% thai lâm sàng, 45% thai tiếp tục</w:t>
      </w:r>
    </w:p>
    <w:p>
      <w:pPr>
        <w:pStyle w:val="ListBullet"/>
      </w:pPr>
      <w:r>
        <w:rPr>
          <w:b/>
        </w:rPr>
        <w:t>Mẫu thay đổi EV (giảm vs không giảm)</w:t>
      </w:r>
      <w:r>
        <w:t xml:space="preserve"> quan trọng:</w:t>
      </w:r>
    </w:p>
    <w:p>
      <w:pPr>
        <w:pStyle w:val="ListBullet"/>
      </w:pPr>
      <w:r>
        <w:t>Không giảm ở lần 1 (ngày P → P+3): kết quả xấu hơn (P=0,03)</w:t>
      </w:r>
    </w:p>
    <w:p>
      <w:pPr>
        <w:pStyle w:val="ListBullet"/>
      </w:pPr>
      <w:r>
        <w:t>Không giảm ở lần 2 (P+3 → ngày ET): kết quả tốt hơn (P=0,03)</w:t>
      </w:r>
    </w:p>
    <w:p>
      <w:pPr>
        <w:pStyle w:val="ListBullet"/>
      </w:pPr>
      <w:r>
        <w:rPr>
          <w:b/>
        </w:rPr>
        <w:t>Kết luận</w:t>
      </w:r>
      <w:r>
        <w:t>: sự thay đổi động của EV có giá trị dự đoán, EMT và thay đổi tưới máu không có giá trị</w:t>
      </w:r>
    </w:p>
    <w:p>
      <w:pPr>
        <w:pStyle w:val="Heading2"/>
      </w:pPr>
      <w:r>
        <w:t>Nghiên cứu tiêu cực: Boza 2020 [Boza-2020, PMID 32330673]</w:t>
      </w:r>
    </w:p>
    <w:p>
      <w:pPr>
        <w:pStyle w:val="ListBullet"/>
      </w:pPr>
      <w:r>
        <w:t>142 bệnh nhân, chuyển phôi nang đơn (fresh + đông lạnh)</w:t>
      </w:r>
    </w:p>
    <w:p>
      <w:pPr>
        <w:pStyle w:val="ListBullet"/>
      </w:pPr>
      <w:r>
        <w:t>Phân vị EV: 5thp=1,7 mL, 50thp=4,3 mL, 75thp=5,3 mL</w:t>
      </w:r>
    </w:p>
    <w:p>
      <w:pPr>
        <w:pStyle w:val="ListBullet"/>
      </w:pPr>
      <w:r>
        <w:rPr>
          <w:b/>
        </w:rPr>
        <w:t>ROC AUC = 0,48 (95% CI 0,38-0,58)</w:t>
      </w:r>
      <w:r>
        <w:t xml:space="preserve"> - không dự đoán được</w:t>
      </w:r>
    </w:p>
    <w:p>
      <w:pPr>
        <w:pStyle w:val="ListBullet"/>
      </w:pPr>
      <w:r>
        <w:t>Không có ngưỡng nào phân biệt có thai / không có thai</w:t>
      </w:r>
    </w:p>
    <w:p>
      <w:pPr>
        <w:pStyle w:val="ListBullet"/>
      </w:pPr>
      <w:r>
        <w:rPr>
          <w:b/>
        </w:rPr>
        <w:t>Kết luận</w:t>
      </w:r>
      <w:r>
        <w:t>: EV ngay ngày ET không phải công cụ hữu ích để dự đoán thai kỳ</w:t>
      </w:r>
    </w:p>
    <w:p>
      <w:pPr>
        <w:pStyle w:val="Heading2"/>
      </w:pPr>
      <w:r>
        <w:t>Lý do khác biệt</w:t>
      </w:r>
    </w:p>
    <w:p>
      <w:pPr>
        <w:pStyle w:val="ListBullet"/>
      </w:pPr>
      <w:r>
        <w:rPr>
          <w:b/>
        </w:rPr>
        <w:t>Liu 2023</w:t>
      </w:r>
      <w:r>
        <w:t xml:space="preserve"> đo thay đổi động (3D theo thời gian) - theo dõi qua 3 mốc</w:t>
      </w:r>
    </w:p>
    <w:p>
      <w:pPr>
        <w:pStyle w:val="ListBullet"/>
      </w:pPr>
      <w:r>
        <w:rPr>
          <w:b/>
        </w:rPr>
        <w:t>Boza 2020</w:t>
      </w:r>
      <w:r>
        <w:t xml:space="preserve"> đo thể tích tĩnh (1 mốc ngày ET) - không theo dõi xu hướng</w:t>
      </w:r>
    </w:p>
    <w:p>
      <w:pPr>
        <w:pStyle w:val="ListBullet"/>
      </w:pPr>
      <w:r>
        <w:rPr>
          <w:b/>
        </w:rPr>
        <w:t>Craciunas 2019</w:t>
      </w:r>
      <w:r>
        <w:t xml:space="preserve"> tổng quan: khả năng dự đoán của mọi marker đơn độc đều kém</w:t>
      </w:r>
    </w:p>
    <w:p>
      <w:pPr>
        <w:ind w:left="567"/>
      </w:pPr>
      <w:r>
        <w:rPr>
          <w:b/>
          <w:i/>
        </w:rPr>
        <w:t>Ý nghĩa lâm sàng</w:t>
      </w:r>
      <w:r>
        <w:rPr>
          <w:i/>
        </w:rPr>
        <w:t>: EV 3D đơn độc không đủ để dự đoán. Mẫu thay đổi động (3 thời điểm) có thể có giá trị, nhưng cần thêm nghiên cứu lớn hơn.</w:t>
      </w:r>
    </w:p>
    <w:p>
      <w:pPr>
        <w:pStyle w:val="Heading1"/>
      </w:pPr>
      <w:r>
        <w:t>5. Doppler động mạch tử cung</w:t>
      </w:r>
    </w:p>
    <w:p>
      <w:r>
        <w:t>Doppler động mạch tử cung</w:t>
      </w:r>
      <w:r>
        <w:rPr>
          <w:b/>
        </w:rPr>
        <w:t xml:space="preserve"> đo </w:t>
      </w:r>
      <w:r>
        <w:t>chỉ số xung (PI - pulsatility index)** qua siêu âm đường âm đạo. PI thấp = tưới máu tốt (mạch mềm, sức cản thấp).</w:t>
      </w:r>
    </w:p>
    <w:p>
      <w:pPr>
        <w:pStyle w:val="Heading2"/>
      </w:pPr>
      <w:r>
        <w:t>Vai trò trong đánh giá tiếp nhận</w:t>
      </w:r>
    </w:p>
    <w:p>
      <w:pPr>
        <w:pStyle w:val="ListBullet"/>
      </w:pPr>
      <w:r>
        <w:rPr>
          <w:b/>
        </w:rPr>
        <w:t>PI bình thường giai đoạn tiếp nhận (P+4 đến ngày ET)</w:t>
      </w:r>
      <w:r>
        <w:t>: PI &lt;3,0 (một số tham chiếu)</w:t>
      </w:r>
    </w:p>
    <w:p>
      <w:pPr>
        <w:pStyle w:val="ListBullet"/>
      </w:pPr>
      <w:r>
        <w:rPr>
          <w:b/>
        </w:rPr>
        <w:t>PI cao (&gt;3,0)</w:t>
      </w:r>
      <w:r>
        <w:t>: liên quan tưới máu kém, giảm dòng máu nội mạc</w:t>
      </w:r>
    </w:p>
    <w:p>
      <w:pPr>
        <w:pStyle w:val="ListBullet"/>
      </w:pPr>
      <w:r>
        <w:t xml:space="preserve">Nhiều nghiên cứu hồi cứu và tiến cứu, nhưng </w:t>
      </w:r>
      <w:r>
        <w:rPr>
          <w:b/>
        </w:rPr>
        <w:t>không có đồng thuận</w:t>
      </w:r>
      <w:r>
        <w:t xml:space="preserve"> về ngưỡng</w:t>
      </w:r>
    </w:p>
    <w:p>
      <w:pPr>
        <w:pStyle w:val="ListBullet"/>
      </w:pPr>
      <w:r>
        <w:rPr>
          <w:b/>
        </w:rPr>
        <w:t>Craciunas 2019</w:t>
      </w:r>
      <w:r>
        <w:t xml:space="preserve"> [Craciunas-2019, PMID 30624659]: PI và chỉ số Doppler có liên quan với thai kỳ nhưng khả năng dự đoán kém</w:t>
      </w:r>
    </w:p>
    <w:p>
      <w:pPr>
        <w:pStyle w:val="Heading2"/>
      </w:pPr>
      <w:r>
        <w:t>PI động mạch tử cung qua thai kỳ (sau IVF)</w:t>
      </w:r>
    </w:p>
    <w:p>
      <w:pPr>
        <w:pStyle w:val="ListBullet"/>
      </w:pPr>
      <w:r>
        <w:rPr>
          <w:b/>
        </w:rPr>
        <w:t>Cavoretto 2020</w:t>
      </w:r>
      <w:r>
        <w:t xml:space="preserve"> (UOG, fresh vs đông lạnh phôi nang): PI khác biệt giữa fresh và đông lạnh, liên quan chức năng nhau thai</w:t>
      </w:r>
    </w:p>
    <w:p>
      <w:pPr>
        <w:pStyle w:val="ListBullet"/>
      </w:pPr>
      <w:r>
        <w:rPr>
          <w:b/>
        </w:rPr>
        <w:t>Carbone 2011</w:t>
      </w:r>
      <w:r>
        <w:t xml:space="preserve"> (Hum Reprod): thụ thai hỗ trợ có PI cao hơn thụ thai tự nhiên ở 11-13 tuần (liên quan nguy cơ tiền sản giật)</w:t>
      </w:r>
    </w:p>
    <w:p>
      <w:pPr>
        <w:ind w:left="567"/>
      </w:pPr>
      <w:r>
        <w:rPr>
          <w:b/>
          <w:i/>
        </w:rPr>
        <w:t>Lưu ý</w:t>
      </w:r>
      <w:r>
        <w:rPr>
          <w:i/>
        </w:rPr>
        <w:t>: PI động mạch tử cung quan trọng hơn cho theo dõi thai kỳ (sàng lọc tiền sản giật, IUGR) hơn là dự đoán khả năng tiếp nhận.</w:t>
      </w:r>
    </w:p>
    <w:p>
      <w:pPr>
        <w:pStyle w:val="Heading1"/>
      </w:pPr>
      <w:r>
        <w:t>6. Workup RIF theo ESHRE 2023</w:t>
      </w:r>
    </w:p>
    <w:p>
      <w:r>
        <w:rPr>
          <w:b/>
        </w:rPr>
        <w:t>Recurrent Implantation Failure (RIF)</w:t>
      </w:r>
      <w:r>
        <w:t xml:space="preserve"> - Định nghĩa ESHRE 2023 [ESHRE-2023-RIF, PMID 37332387]:</w:t>
      </w:r>
    </w:p>
    <w:p>
      <w:pPr>
        <w:ind w:left="567"/>
      </w:pPr>
      <w:r>
        <w:rPr>
          <w:i/>
        </w:rPr>
        <w:t>'RIF mô tả tình huống chuyển phôi được coi là khả thi đã thất bại tạo kết quả thử thai dương tính đủ thường xuyên ở một bệnh nhân cụ thể để bảo đảm xem xét các điều tra và/hoặc can thiệp thêm.'</w:t>
      </w:r>
    </w:p>
    <w:p>
      <w:pPr>
        <w:pStyle w:val="Heading2"/>
      </w:pPr>
      <w:r>
        <w:t>Ngưỡng để điều tra thêm</w:t>
      </w:r>
    </w:p>
    <w:p>
      <w:pPr>
        <w:pStyle w:val="ListBullet"/>
      </w:pPr>
      <w:r>
        <w:t>Khi xác suất tích lũy dự đoán làm tổ &gt; 60% mà không thành công → cần điều tra</w:t>
      </w:r>
    </w:p>
    <w:p>
      <w:pPr>
        <w:pStyle w:val="ListBullet"/>
      </w:pPr>
      <w:r>
        <w:t>Ví dụ: 3 lần ET thất bại với phôi chất lượng tốt → cần workup RIF</w:t>
      </w:r>
    </w:p>
    <w:p>
      <w:pPr>
        <w:pStyle w:val="Heading2"/>
      </w:pPr>
      <w:r>
        <w:t>Căn nguyên phổ biến (tổng quan Ma 2022) [Ma-2022, PMID 36686483]</w:t>
      </w:r>
    </w:p>
    <w:p>
      <w:r>
        <w:t>RIF (~10% cặp đôi IVF-ET) có thể do</w:t>
      </w:r>
    </w:p>
    <w:p>
      <w:pPr>
        <w:pStyle w:val="ListNumber"/>
      </w:pPr>
      <w:r>
        <w:rPr>
          <w:b/>
        </w:rPr>
        <w:t>Yếu tố phôi</w:t>
      </w:r>
      <w:r>
        <w:t>: lệch bội, chất lượng kém (quan trọng nhất)</w:t>
      </w:r>
    </w:p>
    <w:p>
      <w:pPr>
        <w:pStyle w:val="ListNumber"/>
      </w:pPr>
      <w:r>
        <w:rPr>
          <w:b/>
        </w:rPr>
        <w:t>Tiếp nhận nội mạc</w:t>
      </w:r>
      <w:r>
        <w:t>: WOI lệch, nội mạc mỏng, viêm nội mạc mạn</w:t>
      </w:r>
    </w:p>
    <w:p>
      <w:pPr>
        <w:pStyle w:val="ListNumber"/>
      </w:pPr>
      <w:r>
        <w:rPr>
          <w:b/>
        </w:rPr>
        <w:t>Giải phẫu</w:t>
      </w:r>
      <w:r>
        <w:t>: polyp, u xơ, vách ngăn, hội chứng Asherman</w:t>
      </w:r>
    </w:p>
    <w:p>
      <w:pPr>
        <w:pStyle w:val="ListNumber"/>
      </w:pPr>
      <w:r>
        <w:rPr>
          <w:b/>
        </w:rPr>
        <w:t>Miễn dịch</w:t>
      </w:r>
      <w:r>
        <w:t>: tế bào NK, cytokine, tự miễn</w:t>
      </w:r>
    </w:p>
    <w:p>
      <w:pPr>
        <w:pStyle w:val="ListNumber"/>
      </w:pPr>
      <w:r>
        <w:rPr>
          <w:b/>
        </w:rPr>
        <w:t>Huyết khối</w:t>
      </w:r>
      <w:r>
        <w:t>: hội chứng antiphospholipid, huyết khối di truyền</w:t>
      </w:r>
    </w:p>
    <w:p>
      <w:pPr>
        <w:pStyle w:val="ListNumber"/>
      </w:pPr>
      <w:r>
        <w:rPr>
          <w:b/>
        </w:rPr>
        <w:t>Hệ vi sinh</w:t>
      </w:r>
      <w:r>
        <w:t>: loạn khuẩn nội mạc</w:t>
      </w:r>
    </w:p>
    <w:p>
      <w:pPr>
        <w:pStyle w:val="ListNumber"/>
      </w:pPr>
      <w:r>
        <w:t>**Yếu tố năm phân mảnh DNA tinh trùng</w:t>
      </w:r>
    </w:p>
    <w:p>
      <w:pPr>
        <w:pStyle w:val="Heading2"/>
      </w:pPr>
      <w:r>
        <w:t>ESHRE 2023 - Khuyến cáo (mã màu)</w:t>
      </w:r>
    </w:p>
    <w:p>
      <w:r>
        <w:rPr>
          <w:b/>
        </w:rPr>
        <w:t>GREEN (khuyến cáo)</w:t>
      </w:r>
      <w:r>
        <w:t xml:space="preserve">: </w:t>
      </w:r>
    </w:p>
    <w:p>
      <w:pPr>
        <w:pStyle w:val="ListBullet"/>
      </w:pPr>
      <w:r>
        <w:t>Khai thác bệnh sử + khám chi tiết</w:t>
      </w:r>
    </w:p>
    <w:p>
      <w:pPr>
        <w:pStyle w:val="ListBullet"/>
      </w:pPr>
      <w:r>
        <w:t>Siêu âm 3D cho bất thường tử cung</w:t>
      </w:r>
    </w:p>
    <w:p>
      <w:pPr>
        <w:pStyle w:val="ListBullet"/>
      </w:pPr>
      <w:r>
        <w:t>Karyotype cả 2 vợ chồng (nếu có RIF + RPL)</w:t>
      </w:r>
    </w:p>
    <w:p>
      <w:pPr>
        <w:pStyle w:val="ListBullet"/>
      </w:pPr>
      <w:r>
        <w:t>Kháng thể antiphospholipid</w:t>
      </w:r>
    </w:p>
    <w:p>
      <w:pPr>
        <w:pStyle w:val="ListBullet"/>
      </w:pPr>
      <w:r>
        <w:rPr>
          <w:b/>
        </w:rPr>
        <w:t>Phân mảnh DNA tinh trùng</w:t>
      </w:r>
      <w:r>
        <w:t xml:space="preserve"> (một số guideline đề xuất)</w:t>
      </w:r>
    </w:p>
    <w:p>
      <w:r>
        <w:rPr>
          <w:b/>
        </w:rPr>
        <w:t>ORANGE (cân nhắc)</w:t>
      </w:r>
      <w:r>
        <w:t>:</w:t>
      </w:r>
    </w:p>
    <w:p>
      <w:pPr>
        <w:pStyle w:val="ListBullet"/>
      </w:pPr>
      <w:r>
        <w:t>ERA test (chỉ sau khi đã loại trừ các nguyên nhân khác)</w:t>
      </w:r>
    </w:p>
    <w:p>
      <w:pPr>
        <w:pStyle w:val="ListBullet"/>
      </w:pPr>
      <w:r>
        <w:t>Siêu âm 3D</w:t>
      </w:r>
    </w:p>
    <w:p>
      <w:pPr>
        <w:pStyle w:val="ListBullet"/>
      </w:pPr>
      <w:r>
        <w:t>Xét nghiệm miễn dịch (tế bào NK, cytokine)</w:t>
      </w:r>
    </w:p>
    <w:p>
      <w:pPr>
        <w:pStyle w:val="ListBullet"/>
      </w:pPr>
      <w:r>
        <w:t>Hệ vi sinh nội mạc (chỉ trong nghiên cứu)</w:t>
      </w:r>
    </w:p>
    <w:p>
      <w:r>
        <w:rPr>
          <w:b/>
        </w:rPr>
        <w:t>RED (không khuyến cáo)</w:t>
      </w:r>
      <w:r>
        <w:t xml:space="preserve">: </w:t>
      </w:r>
    </w:p>
    <w:p>
      <w:pPr>
        <w:pStyle w:val="ListBullet"/>
      </w:pPr>
      <w:r>
        <w:t>IVIG (không có bằng chứng)</w:t>
      </w:r>
    </w:p>
    <w:p>
      <w:pPr>
        <w:pStyle w:val="ListBullet"/>
      </w:pPr>
      <w:r>
        <w:t>Corticosteroid</w:t>
      </w:r>
    </w:p>
    <w:p>
      <w:pPr>
        <w:pStyle w:val="ListBullet"/>
      </w:pPr>
      <w:r>
        <w:t>Heparin/LMWH cho người không có huyết khối</w:t>
      </w:r>
    </w:p>
    <w:p>
      <w:pPr>
        <w:pStyle w:val="ListBullet"/>
      </w:pPr>
      <w:r>
        <w:t>Cào nội mạc (endometrial scratching) (không có bằng chứng)</w:t>
      </w:r>
    </w:p>
    <w:p>
      <w:pPr>
        <w:pStyle w:val="ListBullet"/>
      </w:pPr>
      <w:r>
        <w:t>ERA thường quy cho mọi bệnh nhân</w:t>
      </w:r>
    </w:p>
    <w:p>
      <w:pPr>
        <w:pStyle w:val="Heading2"/>
      </w:pPr>
      <w:r>
        <w:t>Khung Kliman 2019 [Kliman-2019, PMID 30929719]</w:t>
      </w:r>
    </w:p>
    <w:p>
      <w:r>
        <w:t>Đánh giá nên chia thành:</w:t>
      </w:r>
    </w:p>
    <w:p>
      <w:pPr>
        <w:pStyle w:val="ListBullet"/>
      </w:pPr>
      <w:r>
        <w:rPr>
          <w:b/>
        </w:rPr>
        <w:t>Cấu trúc</w:t>
      </w:r>
      <w:r>
        <w:t>: siêu âm 3D, nội soi buồng tử cung, HSG/SIS</w:t>
      </w:r>
    </w:p>
    <w:p>
      <w:pPr>
        <w:pStyle w:val="ListBullet"/>
      </w:pPr>
      <w:r>
        <w:rPr>
          <w:b/>
        </w:rPr>
        <w:t>Chức năng</w:t>
      </w:r>
      <w:r>
        <w:t>: ERA, xét nghiệm ngày nội mạc, test tiếp nhận</w:t>
      </w:r>
    </w:p>
    <w:p>
      <w:pPr>
        <w:pStyle w:val="ListBullet"/>
      </w:pPr>
      <w:r>
        <w:rPr>
          <w:b/>
        </w:rPr>
        <w:t>Viêm</w:t>
      </w:r>
      <w:r>
        <w:t>: viêm nội mạc mạn, dấu ấn miễn dịch</w:t>
      </w:r>
    </w:p>
    <w:p>
      <w:pPr>
        <w:pStyle w:val="ListBullet"/>
      </w:pPr>
      <w:r>
        <w:rPr>
          <w:b/>
        </w:rPr>
        <w:t>Hệ vi sinh</w:t>
      </w:r>
      <w:r>
        <w:t>: đang phát triển</w:t>
      </w:r>
    </w:p>
    <w:p>
      <w:pPr>
        <w:ind w:left="567"/>
      </w:pPr>
      <w:r>
        <w:rPr>
          <w:i/>
        </w:rPr>
        <w:t>Mục tiêu cuối cùng: tìm 'phát hiện có thể hành động' để cá thể hóa điều trị cho từng bệnh nhân.</w:t>
      </w:r>
    </w:p>
    <w:p>
      <w:pPr>
        <w:pStyle w:val="Heading1"/>
      </w:pPr>
      <w:r>
        <w:t>7. Thuật toán thực hành - Đánh giá nội mạc</w:t>
      </w:r>
    </w:p>
    <w:p>
      <w:pPr>
        <w:pStyle w:val="Heading2"/>
      </w:pPr>
      <w:r>
        <w:t>Bước 1: Đánh giá cơ bản (tất cả bệnh nhân IVF)</w:t>
      </w:r>
    </w:p>
    <w:p>
      <w:pPr>
        <w:pStyle w:val="ListBullet"/>
      </w:pPr>
      <w:r>
        <w:rPr>
          <w:b/>
        </w:rPr>
        <w:t>Siêu âm đường âm đạo 2D</w:t>
      </w:r>
      <w:r>
        <w:t>: đo EMT vào ngày kích trigger / P+4-5</w:t>
      </w:r>
    </w:p>
    <w:p>
      <w:pPr>
        <w:pStyle w:val="ListBullet"/>
      </w:pPr>
      <w:r>
        <w:rPr>
          <w:b/>
        </w:rPr>
        <w:t>EMT &lt;7 mm</w:t>
      </w:r>
      <w:r>
        <w:t>: cảnh báo, xem xét hoãn ET, chiến lược đông phôi</w:t>
      </w:r>
    </w:p>
    <w:p>
      <w:pPr>
        <w:pStyle w:val="ListBullet"/>
      </w:pPr>
      <w:r>
        <w:rPr>
          <w:b/>
        </w:rPr>
        <w:t>EMT 7-14 mm</w:t>
      </w:r>
      <w:r>
        <w:t>: bình thường, tiến hành theo protocol</w:t>
      </w:r>
    </w:p>
    <w:p>
      <w:pPr>
        <w:pStyle w:val="ListBullet"/>
      </w:pPr>
      <w:r>
        <w:rPr>
          <w:b/>
        </w:rPr>
        <w:t>EMT &gt;14 mm</w:t>
      </w:r>
      <w:r>
        <w:t>: không cần thiết phải lo (Liao 2021)</w:t>
      </w:r>
    </w:p>
    <w:p>
      <w:pPr>
        <w:pStyle w:val="Heading2"/>
      </w:pPr>
      <w:r>
        <w:t>Bước 2: Workup RIF (sau 2-3 lần ET thất bại với phôi tốt)</w:t>
      </w:r>
    </w:p>
    <w:p>
      <w:pPr>
        <w:pStyle w:val="ListBullet"/>
      </w:pPr>
      <w:r>
        <w:t>Siêu âm 3D (VOCAL) cho bất thường tử cung, polyp</w:t>
      </w:r>
    </w:p>
    <w:p>
      <w:pPr>
        <w:pStyle w:val="ListBullet"/>
      </w:pPr>
      <w:r>
        <w:t>Nội soi buồng tử cung nếu nghi ngờ Asherman</w:t>
      </w:r>
    </w:p>
    <w:p>
      <w:pPr>
        <w:pStyle w:val="ListBullet"/>
      </w:pPr>
      <w:r>
        <w:t>Karyotype cả 2 vợ chồng</w:t>
      </w:r>
    </w:p>
    <w:p>
      <w:pPr>
        <w:pStyle w:val="ListBullet"/>
      </w:pPr>
      <w:r>
        <w:t>Kháng thể antiphospholipid (lupus anticoagulant, anticardiolipin, anti-β2GP1)</w:t>
      </w:r>
    </w:p>
    <w:p>
      <w:pPr>
        <w:pStyle w:val="ListBullet"/>
      </w:pPr>
      <w:r>
        <w:t>TSH, prolactin</w:t>
      </w:r>
    </w:p>
    <w:p>
      <w:pPr>
        <w:pStyle w:val="ListBullet"/>
      </w:pPr>
      <w:r>
        <w:t>Phân mảnh DNA tinh trùng (nếu tinh dịch đồ bình thường)</w:t>
      </w:r>
    </w:p>
    <w:p>
      <w:pPr>
        <w:pStyle w:val="Heading2"/>
      </w:pPr>
      <w:r>
        <w:t>Bước 3: Nâng cao (sau khi loại trừ cơ bản)</w:t>
      </w:r>
    </w:p>
    <w:p>
      <w:pPr>
        <w:pStyle w:val="ListBullet"/>
      </w:pPr>
      <w:r>
        <w:rPr>
          <w:b/>
        </w:rPr>
        <w:t>ERA test</w:t>
      </w:r>
      <w:r>
        <w:t xml:space="preserve"> (orange): có thể xem xét nhưng </w:t>
      </w:r>
      <w:r>
        <w:rPr>
          <w:b/>
        </w:rPr>
        <w:t>không bắt buộc</w:t>
      </w:r>
      <w:r>
        <w:t xml:space="preserve"> theo ESHRE 2023</w:t>
      </w:r>
    </w:p>
    <w:p>
      <w:pPr>
        <w:pStyle w:val="ListBullet"/>
      </w:pPr>
      <w:r>
        <w:t>Thay đổi động EV 3D (chỉ trong nghiên cứu)</w:t>
      </w:r>
    </w:p>
    <w:p>
      <w:pPr>
        <w:pStyle w:val="ListBullet"/>
      </w:pPr>
      <w:r>
        <w:t>Sinh thiết nội mạc tìm viêm nội mạc mạn (nhuộm CD138)</w:t>
      </w:r>
    </w:p>
    <w:p>
      <w:pPr>
        <w:pStyle w:val="ListBullet"/>
      </w:pPr>
      <w:r>
        <w:t>Hệ vi sinh (chỉ trong nghiên cứu)</w:t>
      </w:r>
    </w:p>
    <w:p>
      <w:pPr>
        <w:pStyle w:val="Heading2"/>
      </w:pPr>
      <w:r>
        <w:t>Bước 4: Không nên làm</w:t>
      </w:r>
    </w:p>
    <w:p>
      <w:pPr>
        <w:pStyle w:val="ListBullet"/>
      </w:pPr>
      <w:r>
        <w:t>ERA cho mọi bệnh nhân</w:t>
      </w:r>
    </w:p>
    <w:p>
      <w:pPr>
        <w:pStyle w:val="ListBullet"/>
      </w:pPr>
      <w:r>
        <w:t>IVIG, corticosteroid (không có bằng chứng, có thể gây hại)</w:t>
      </w:r>
    </w:p>
    <w:p>
      <w:pPr>
        <w:pStyle w:val="ListBullet"/>
      </w:pPr>
      <w:r>
        <w:t>Cào nội mạc (không có bằng chứng)</w:t>
      </w:r>
    </w:p>
    <w:p>
      <w:pPr>
        <w:pStyle w:val="ListBullet"/>
      </w:pPr>
      <w:r>
        <w:t>Heparin nếu không có huyết khối</w:t>
      </w:r>
    </w:p>
    <w:p>
      <w:pPr>
        <w:pStyle w:val="Heading2"/>
      </w:pPr>
      <w:r>
        <w:t>Điểm mấu chốt</w:t>
      </w:r>
    </w:p>
    <w:p>
      <w:pPr>
        <w:pStyle w:val="ListBullet"/>
      </w:pPr>
      <w:r>
        <w:rPr>
          <w:b/>
        </w:rPr>
        <w:t>EMT là marker có bằng chứng mạnh nhất</w:t>
      </w:r>
      <w:r>
        <w:t xml:space="preserve"> nhưng khả năng dự đoán vẫn kém</w:t>
      </w:r>
    </w:p>
    <w:p>
      <w:pPr>
        <w:pStyle w:val="ListBullet"/>
      </w:pPr>
      <w:r>
        <w:rPr>
          <w:b/>
        </w:rPr>
        <w:t>ERA test còn tranh cãi</w:t>
      </w:r>
      <w:r>
        <w:t xml:space="preserve"> - ESHRE 2023 không khuyến cáo thường quy</w:t>
      </w:r>
    </w:p>
    <w:p>
      <w:pPr>
        <w:pStyle w:val="ListBullet"/>
      </w:pPr>
      <w:r>
        <w:rPr>
          <w:b/>
        </w:rPr>
        <w:t>Workup RIF nên hệ thống</w:t>
      </w:r>
      <w:r>
        <w:t xml:space="preserve"> theo thuật toán ESHRE, không phải 'add-on' lung tung</w:t>
      </w:r>
    </w:p>
    <w:p>
      <w:pPr>
        <w:pStyle w:val="ListBullet"/>
      </w:pPr>
      <w:r>
        <w:rPr>
          <w:b/>
        </w:rPr>
        <w:t>Chất lượng phôi (euploid) là quan trọng nhất</w:t>
      </w:r>
      <w:r>
        <w:t xml:space="preserve"> - hay quên điều này</w:t>
      </w:r>
    </w:p>
    <w:p>
      <w:pPr>
        <w:pStyle w:val="Heading1"/>
      </w:pPr>
      <w:r>
        <w:t>Tài liệu tham khảo</w:t>
      </w:r>
    </w:p>
    <w:p>
      <w:pPr>
        <w:pStyle w:val="ListNumber"/>
      </w:pPr>
      <w:r>
        <w:t xml:space="preserve">ESHRE Working Group on RIF. ESHRE good practice recommendations on RIF. </w:t>
      </w:r>
      <w:r>
        <w:rPr>
          <w:i/>
        </w:rPr>
        <w:t>Hum Reprod Open</w:t>
      </w:r>
      <w:r>
        <w:t xml:space="preserve"> 2023;2023(3):hoad023. [PMID 37332387]</w:t>
      </w:r>
    </w:p>
    <w:p>
      <w:pPr>
        <w:pStyle w:val="ListNumber"/>
      </w:pPr>
      <w:r>
        <w:t xml:space="preserve">Arian SE, et al. ERA before FET cycles: meta-analysis. </w:t>
      </w:r>
      <w:r>
        <w:rPr>
          <w:i/>
        </w:rPr>
        <w:t>Fertil Steril</w:t>
      </w:r>
      <w:r>
        <w:t xml:space="preserve"> 2023;119(2):229-238. [PMID 36414088]</w:t>
      </w:r>
    </w:p>
    <w:p>
      <w:pPr>
        <w:pStyle w:val="ListNumber"/>
      </w:pPr>
      <w:r>
        <w:t xml:space="preserve">Glujovsky D, et al. Personalized ET guided by ERA: meta-analysis. </w:t>
      </w:r>
      <w:r>
        <w:rPr>
          <w:i/>
        </w:rPr>
        <w:t>Hum Reprod</w:t>
      </w:r>
      <w:r>
        <w:t xml:space="preserve"> 2023;38(7):1305-1317. [PMID 37203432]</w:t>
      </w:r>
    </w:p>
    <w:p>
      <w:pPr>
        <w:pStyle w:val="ListNumber"/>
      </w:pPr>
      <w:r>
        <w:t xml:space="preserve">Craciunas L, et al. Conventional and modern markers of endometrial receptivity. </w:t>
      </w:r>
      <w:r>
        <w:rPr>
          <w:i/>
        </w:rPr>
        <w:t>Hum Reprod Update</w:t>
      </w:r>
      <w:r>
        <w:t xml:space="preserve"> 2019;25(2):202-223. [PMID 30624659]</w:t>
      </w:r>
    </w:p>
    <w:p>
      <w:pPr>
        <w:pStyle w:val="ListNumber"/>
      </w:pPr>
      <w:r>
        <w:t xml:space="preserve">Gao G, et al. Endometrial thickness and IVF cycle outcomes. </w:t>
      </w:r>
      <w:r>
        <w:rPr>
          <w:i/>
        </w:rPr>
        <w:t>Reprod Biomed Online</w:t>
      </w:r>
      <w:r>
        <w:t xml:space="preserve"> 2020;40(1):124-133. [PMID 31786047]</w:t>
      </w:r>
    </w:p>
    <w:p>
      <w:pPr>
        <w:pStyle w:val="ListNumber"/>
      </w:pPr>
      <w:r>
        <w:t xml:space="preserve">Liao Z, et al. Effect of EMT on pregnancy, maternal, perinatal outcomes. </w:t>
      </w:r>
      <w:r>
        <w:rPr>
          <w:i/>
        </w:rPr>
        <w:t>Front Endocrinol</w:t>
      </w:r>
      <w:r>
        <w:t xml:space="preserve"> 2022;12:814648. [PMID 35222264]</w:t>
      </w:r>
    </w:p>
    <w:p>
      <w:pPr>
        <w:pStyle w:val="ListNumber"/>
      </w:pPr>
      <w:r>
        <w:t xml:space="preserve">Liu Y, et al. 2D/3D US to predict FET outcome. </w:t>
      </w:r>
      <w:r>
        <w:rPr>
          <w:i/>
        </w:rPr>
        <w:t>Quant Imaging Med Surg</w:t>
      </w:r>
      <w:r>
        <w:t xml:space="preserve"> 2023;13(6):3915-3926. [PMID 37284089]</w:t>
      </w:r>
    </w:p>
    <w:p>
      <w:pPr>
        <w:pStyle w:val="ListNumber"/>
      </w:pPr>
      <w:r>
        <w:t xml:space="preserve">Boza A, et al. EV not associated with LBR. </w:t>
      </w:r>
      <w:r>
        <w:rPr>
          <w:i/>
        </w:rPr>
        <w:t>J Gynecol Obstet Hum Reprod</w:t>
      </w:r>
      <w:r>
        <w:t xml:space="preserve"> 2020;49(7):101767. [PMID 32330673]</w:t>
      </w:r>
    </w:p>
    <w:p>
      <w:pPr>
        <w:pStyle w:val="ListNumber"/>
      </w:pPr>
      <w:r>
        <w:t xml:space="preserve">Ma J, et al. RIF comprehensive summary. </w:t>
      </w:r>
      <w:r>
        <w:rPr>
          <w:i/>
        </w:rPr>
        <w:t>Front Endocrinol</w:t>
      </w:r>
      <w:r>
        <w:t xml:space="preserve"> 2023;13:1061766. [PMID 36686483]</w:t>
      </w:r>
    </w:p>
    <w:p>
      <w:pPr>
        <w:pStyle w:val="ListNumber"/>
      </w:pPr>
      <w:r>
        <w:t xml:space="preserve">Mei Y, et al. ERA in euploid embryo transfer. </w:t>
      </w:r>
      <w:r>
        <w:rPr>
          <w:i/>
        </w:rPr>
        <w:t>Front Endocrinol</w:t>
      </w:r>
      <w:r>
        <w:t xml:space="preserve"> 2023;14:1251699. [PMID 37964969]</w:t>
      </w:r>
    </w:p>
    <w:p>
      <w:pPr>
        <w:pStyle w:val="ListNumber"/>
      </w:pPr>
      <w:r>
        <w:t xml:space="preserve">Ruiz-Alonso M, et al. ERA: data versus opinions. </w:t>
      </w:r>
      <w:r>
        <w:rPr>
          <w:i/>
        </w:rPr>
        <w:t>Hum Reprod Open</w:t>
      </w:r>
      <w:r>
        <w:t xml:space="preserve"> 2021;2021(2):hoab011. [PMID 33880420]</w:t>
      </w:r>
    </w:p>
    <w:p>
      <w:pPr>
        <w:pStyle w:val="ListNumber"/>
      </w:pPr>
      <w:r>
        <w:t xml:space="preserve">Ben Rafael Z. ERA: unproven technology. </w:t>
      </w:r>
      <w:r>
        <w:rPr>
          <w:i/>
        </w:rPr>
        <w:t>Hum Reprod Open</w:t>
      </w:r>
      <w:r>
        <w:t xml:space="preserve"> 2021;2021(2):hoab010. [PMID 33880419]</w:t>
      </w:r>
    </w:p>
    <w:p>
      <w:pPr>
        <w:pStyle w:val="ListNumber"/>
      </w:pPr>
      <w:r>
        <w:t xml:space="preserve">Kliman HJ, Frankfurter D. RIF: evidence-based evaluation. </w:t>
      </w:r>
      <w:r>
        <w:rPr>
          <w:i/>
        </w:rPr>
        <w:t>Fertil Steril</w:t>
      </w:r>
      <w:r>
        <w:t xml:space="preserve"> 2019;111(4):618-628. [PMID 30929719]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