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Audit Report</w:t>
      </w:r>
    </w:p>
    <w:p>
      <w:r>
        <w:t>Bai hoc y khoa - citation_audit_PGT-A</w:t>
      </w:r>
    </w:p>
    <w:p>
      <w:pPr>
        <w:pStyle w:val="Title"/>
      </w:pPr>
      <w:r>
        <w:t>Citation Audit Report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</w:rPr>
        <w:t>F:\DL\mavisresearch\Bai hoc y khoa\09_Source - Markdown\02_Ho tro sinh san ART\13_PGT-A_Preimplantation_Genetic_Testing\PGT-A_Preimplantation_Genetic_Testing_Aneuploidy_2026-06-25.md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Count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Total citations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17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Pass (OK)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Warn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Block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0</w:t>
            </w:r>
          </w:p>
        </w:tc>
      </w:tr>
    </w:tbl>
    <w:p>
      <w:pPr>
        <w:pStyle w:val="Heading1"/>
      </w:pPr>
      <w:r>
        <w:t>Citations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Citation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Specific?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Verdict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38762806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40746180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41945151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41309413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 OK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37162432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 OK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41268069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42074534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+ specific claim - VERIFY TOPIC RELEVANCE!)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39151684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41254767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(Unknown journal + specific claim - VERIFY TOPIC RELEVANCE!)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41738632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42252048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39513188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42319719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39832027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37678731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 41966094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PMID: 39878851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pmid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✓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⚠️ WARN (Q1/Q2 + specific claim, cần verify full text)</w:t>
            </w:r>
          </w:p>
        </w:tc>
      </w:tr>
    </w:tbl>
    <w:p>
      <w:pPr>
        <w:pStyle w:val="Heading1"/>
      </w:pPr>
      <w:r>
        <w:t>Paper Details</w:t>
      </w:r>
    </w:p>
    <w:p>
      <w:pPr>
        <w:pStyle w:val="ListBullet"/>
      </w:pPr>
      <w:r>
        <w:rPr>
          <w:b/>
        </w:rPr>
        <w:t>#1 PMID 38762806</w:t>
      </w:r>
      <w:r>
        <w:t xml:space="preserve"> (2024): The use of preimplantation genetic testing for aneuploidy: a committee opinion. — </w:t>
      </w:r>
      <w:r>
        <w:rPr>
          <w:i/>
        </w:rPr>
        <w:t>Fertil Steril</w:t>
      </w:r>
      <w:r>
        <w:t xml:space="preserve"> — Practice Committees of the American Society for Reproductive Medicine and the Society for Assisted Reproductive Technology. Electronic address: asrm@asrm.org</w:t>
      </w:r>
    </w:p>
    <w:p>
      <w:pPr>
        <w:pStyle w:val="ListBullet"/>
      </w:pPr>
      <w:r>
        <w:rPr>
          <w:b/>
        </w:rPr>
        <w:t>#2 PMID 40746180</w:t>
      </w:r>
      <w:r>
        <w:t xml:space="preserve"> (2025): Approximate Bayesian computation supports a high incidence of chromosomal mosaicism in blastocyst-st — </w:t>
      </w:r>
      <w:r>
        <w:rPr>
          <w:i/>
        </w:rPr>
        <w:t>Genetics</w:t>
      </w:r>
      <w:r>
        <w:t xml:space="preserve"> — Yang Q</w:t>
      </w:r>
    </w:p>
    <w:p>
      <w:pPr>
        <w:pStyle w:val="ListBullet"/>
      </w:pPr>
      <w:r>
        <w:rPr>
          <w:b/>
        </w:rPr>
        <w:t>#3 PMID 41945151</w:t>
      </w:r>
      <w:r>
        <w:t xml:space="preserve"> (2026): Misdiagnosis of different types of aneuploidy in preimplantation genetic testing (PGT): a systematic — </w:t>
      </w:r>
      <w:r>
        <w:rPr>
          <w:i/>
        </w:rPr>
        <w:t>Arch Gynecol Obstet</w:t>
      </w:r>
      <w:r>
        <w:t xml:space="preserve"> — Jiang W</w:t>
      </w:r>
    </w:p>
    <w:p>
      <w:pPr>
        <w:pStyle w:val="ListBullet"/>
      </w:pPr>
      <w:r>
        <w:rPr>
          <w:b/>
        </w:rPr>
        <w:t>#4 PMID 41309413</w:t>
      </w:r>
      <w:r>
        <w:t xml:space="preserve"> (2026): Use of preimplantation genetic testing for polygenic disorders (PGT-P): an Ethics Committee opinion. — </w:t>
      </w:r>
      <w:r>
        <w:rPr>
          <w:i/>
        </w:rPr>
        <w:t>Fertil Steril</w:t>
      </w:r>
      <w:r>
        <w:t xml:space="preserve"> — Ethics Committee of the American Society for Reproductive Medicine and Practice Committee of the American Society for Reproductive Medicine. Electronic address: ethics@asrm.org</w:t>
      </w:r>
    </w:p>
    <w:p>
      <w:pPr>
        <w:pStyle w:val="ListBullet"/>
      </w:pPr>
      <w:r>
        <w:rPr>
          <w:b/>
        </w:rPr>
        <w:t>#5 PMID 37162432</w:t>
      </w:r>
      <w:r>
        <w:t xml:space="preserve"> (2023): Indications and management of preimplantation genetic testing for monogenic conditions: a committee  — </w:t>
      </w:r>
      <w:r>
        <w:rPr>
          <w:i/>
        </w:rPr>
        <w:t>Fertil Steril</w:t>
      </w:r>
      <w:r>
        <w:t xml:space="preserve"> — Practice Committee and Genetic Counseling Professional Group of the American Society for Reproductive Medicine, American Society for Reproductive Medicine, Washington, D.C.. Electronic address: asrm@asrm.org</w:t>
      </w:r>
    </w:p>
    <w:p>
      <w:pPr>
        <w:pStyle w:val="ListBullet"/>
      </w:pPr>
      <w:r>
        <w:rPr>
          <w:b/>
        </w:rPr>
        <w:t>#6 PMID 41268069</w:t>
      </w:r>
      <w:r>
        <w:t xml:space="preserve"> (2025): Rapid and minimally invasive preimplantation genetic testing for aneuploidies (PGT-A) based on polar — </w:t>
      </w:r>
      <w:r>
        <w:rPr>
          <w:i/>
        </w:rPr>
        <w:t>Hum Reprod Open</w:t>
      </w:r>
      <w:r>
        <w:t xml:space="preserve"> — Song D</w:t>
      </w:r>
    </w:p>
    <w:p>
      <w:pPr>
        <w:pStyle w:val="ListBullet"/>
      </w:pPr>
      <w:r>
        <w:rPr>
          <w:b/>
        </w:rPr>
        <w:t>#7 PMID 42074534</w:t>
      </w:r>
      <w:r>
        <w:t xml:space="preserve"> (2026): Can Cell-Free DNA in the Culture Medium Predict the Chromosomal Constitution of Preimplantation Embr — </w:t>
      </w:r>
      <w:r>
        <w:rPr>
          <w:i/>
        </w:rPr>
        <w:t>Genes (Basel)</w:t>
      </w:r>
      <w:r>
        <w:t xml:space="preserve"> — Navarro-Sánchez L</w:t>
      </w:r>
    </w:p>
    <w:p>
      <w:pPr>
        <w:pStyle w:val="ListBullet"/>
      </w:pPr>
      <w:r>
        <w:rPr>
          <w:b/>
        </w:rPr>
        <w:t>#8 PMID 39151684</w:t>
      </w:r>
      <w:r>
        <w:t xml:space="preserve"> (2025): Preimplantation genetic testing for aneuploidy in unexplained recurrent pregnancy loss: a systematic — </w:t>
      </w:r>
      <w:r>
        <w:rPr>
          <w:i/>
        </w:rPr>
        <w:t>Fertil Steril</w:t>
      </w:r>
      <w:r>
        <w:t xml:space="preserve"> — Mumusoglu S</w:t>
      </w:r>
    </w:p>
    <w:p>
      <w:pPr>
        <w:pStyle w:val="ListBullet"/>
      </w:pPr>
      <w:r>
        <w:rPr>
          <w:b/>
        </w:rPr>
        <w:t>#9 PMID 41254767</w:t>
      </w:r>
      <w:r>
        <w:t xml:space="preserve"> (2025): Effect of sperm DNA fragmentation on embryo euploidy rate in assisted reproductive technologies: a s — </w:t>
      </w:r>
      <w:r>
        <w:rPr>
          <w:i/>
        </w:rPr>
        <w:t>Eur J Med Res</w:t>
      </w:r>
      <w:r>
        <w:t xml:space="preserve"> — Wan B</w:t>
      </w:r>
    </w:p>
    <w:p>
      <w:pPr>
        <w:pStyle w:val="ListBullet"/>
      </w:pPr>
      <w:r>
        <w:rPr>
          <w:b/>
        </w:rPr>
        <w:t>#10 PMID 41738632</w:t>
      </w:r>
      <w:r>
        <w:t xml:space="preserve"> (2026): Does preimplantation genetic testing for aneuploidy improve live birth rate in women diagnosed with  — </w:t>
      </w:r>
      <w:r>
        <w:rPr>
          <w:i/>
        </w:rPr>
        <w:t>Acta Obstet Gynecol Scand</w:t>
      </w:r>
      <w:r>
        <w:t xml:space="preserve"> — Newnham A</w:t>
      </w:r>
    </w:p>
    <w:p>
      <w:pPr>
        <w:pStyle w:val="ListBullet"/>
      </w:pPr>
      <w:r>
        <w:rPr>
          <w:b/>
        </w:rPr>
        <w:t>#11 PMID 42252048</w:t>
      </w:r>
      <w:r>
        <w:t xml:space="preserve"> (2026): Preimplantation Genetic Testing for Aneuploidy in Donor Egg Recipients Does Not Decrease Number of E — </w:t>
      </w:r>
      <w:r>
        <w:rPr>
          <w:i/>
        </w:rPr>
        <w:t>Fertil Steril</w:t>
      </w:r>
      <w:r>
        <w:t xml:space="preserve"> — Bayefsky MJ</w:t>
      </w:r>
    </w:p>
    <w:p>
      <w:pPr>
        <w:pStyle w:val="ListBullet"/>
      </w:pPr>
      <w:r>
        <w:rPr>
          <w:b/>
        </w:rPr>
        <w:t>#12 PMID 39513188</w:t>
      </w:r>
      <w:r>
        <w:t xml:space="preserve"> (2024): Non-invasive prediction of human embryonic ploidy using artificial intelligence: a systematic review — </w:t>
      </w:r>
      <w:r>
        <w:rPr>
          <w:i/>
        </w:rPr>
        <w:t>EClinicalMedicine</w:t>
      </w:r>
      <w:r>
        <w:t xml:space="preserve"> — Xin X</w:t>
      </w:r>
    </w:p>
    <w:p>
      <w:pPr>
        <w:pStyle w:val="ListBullet"/>
      </w:pPr>
      <w:r>
        <w:rPr>
          <w:b/>
        </w:rPr>
        <w:t>#13 PMID 42319719</w:t>
      </w:r>
      <w:r>
        <w:t xml:space="preserve"> (2026): A machine learning-based score to predict live birth after mosaic embryo transfer. — </w:t>
      </w:r>
      <w:r>
        <w:rPr>
          <w:i/>
        </w:rPr>
        <w:t>J Assist Reprod Genet</w:t>
      </w:r>
      <w:r>
        <w:t xml:space="preserve"> — Ortiz JA</w:t>
      </w:r>
    </w:p>
    <w:p>
      <w:pPr>
        <w:pStyle w:val="ListBullet"/>
      </w:pPr>
      <w:r>
        <w:rPr>
          <w:b/>
        </w:rPr>
        <w:t>#14 PMID 39832027</w:t>
      </w:r>
      <w:r>
        <w:t xml:space="preserve"> (2025): Time-lapse analysis of embryos classified as euploid, mosaic, and aneuploid after embryonic trophect — </w:t>
      </w:r>
      <w:r>
        <w:rPr>
          <w:i/>
        </w:rPr>
        <w:t>J Assist Reprod Genet</w:t>
      </w:r>
      <w:r>
        <w:t xml:space="preserve"> — Listorti I</w:t>
      </w:r>
    </w:p>
    <w:p>
      <w:pPr>
        <w:pStyle w:val="ListBullet"/>
      </w:pPr>
      <w:r>
        <w:rPr>
          <w:b/>
        </w:rPr>
        <w:t>#15 PMID 37678731</w:t>
      </w:r>
      <w:r>
        <w:t xml:space="preserve"> (2023): Clinical management of mosaic results from preimplantation genetic testing for aneuploidy of blastoc — </w:t>
      </w:r>
      <w:r>
        <w:rPr>
          <w:i/>
        </w:rPr>
        <w:t>Fertil Steril</w:t>
      </w:r>
      <w:r>
        <w:t xml:space="preserve"> — Practice Committees of the American Society for Reproductive Medicine and the Genetic Counseling Professional Group. Electronic address: asrm@asrm.org</w:t>
      </w:r>
    </w:p>
    <w:p>
      <w:pPr>
        <w:pStyle w:val="ListBullet"/>
      </w:pPr>
      <w:r>
        <w:rPr>
          <w:b/>
        </w:rPr>
        <w:t>#16 PMID 41966094</w:t>
      </w:r>
      <w:r>
        <w:t xml:space="preserve"> (2026): The effect of preimplantation genetic testing for aneuploidy (PGT-A) on obstetric and neonatal outco — </w:t>
      </w:r>
      <w:r>
        <w:rPr>
          <w:i/>
        </w:rPr>
        <w:t>Hum Reprod</w:t>
      </w:r>
      <w:r>
        <w:t xml:space="preserve"> — Hyttel CB</w:t>
      </w:r>
    </w:p>
    <w:p>
      <w:pPr>
        <w:pStyle w:val="ListBullet"/>
      </w:pPr>
      <w:r>
        <w:rPr>
          <w:b/>
        </w:rPr>
        <w:t>#17 PMID 39878851</w:t>
      </w:r>
      <w:r>
        <w:t xml:space="preserve"> (2025): The correlation between blastocyst morphological parameters and chromosomal euploidy, aneuploidy and — </w:t>
      </w:r>
      <w:r>
        <w:rPr>
          <w:i/>
        </w:rPr>
        <w:t>Arch Gynecol Obstet</w:t>
      </w:r>
      <w:r>
        <w:t xml:space="preserve"> — Hochberg A</w:t>
      </w:r>
    </w:p>
    <w:p/>
    <w:p>
      <w:r>
        <w:rPr>
          <w:i/>
        </w:rPr>
        <w:t>Generated by citation_audit.py at 2026-06-25 08:42:11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