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PHÂN NHÓM ĐÁP ỨNG BUỒNG TRỨNG</w:t>
        <w:br/>
        <w:t>&amp; PHÁC ĐỒ TƯƠNG ỨNG THEO ESHRE 2025</w:t>
      </w:r>
    </w:p>
    <w:p>
      <w:pPr>
        <w:jc w:val="center"/>
      </w:pPr>
      <w:r>
        <w:rPr>
          <w:i/>
          <w:color w:val="555555"/>
          <w:sz w:val="22"/>
        </w:rPr>
        <w:t>Mini-IVF • High / Normal / Low responder • POSEIDON • Fertility preservation • Oocyte donor</w:t>
      </w:r>
    </w:p>
    <w:p>
      <w:pPr>
        <w:jc w:val="center"/>
      </w:pPr>
      <w:r>
        <w:rPr>
          <w:color w:val="777777"/>
          <w:sz w:val="20"/>
        </w:rPr>
        <w:t>Ngày soạn: 25/06/2026  |  Nguồn chính: ESHRE Guideline on Ovarian Stimulation for IVF/ICSI — update 2025 (PMID 41732035)</w:t>
      </w:r>
    </w:p>
    <w:p/>
    <w:p>
      <w:pPr>
        <w:spacing w:before="280" w:after="160"/>
      </w:pPr>
      <w:r>
        <w:rPr>
          <w:b/>
          <w:color w:val="1F3864"/>
          <w:sz w:val="32"/>
        </w:rPr>
        <w:t>1. Tại sao cần phân nhóm trước khi chọn phác đồ?</w:t>
      </w:r>
    </w:p>
    <w:p>
      <w:pPr>
        <w:spacing w:after="120" w:line="300" w:lineRule="auto"/>
      </w:pPr>
      <w:r>
        <w:rPr>
          <w:b w:val="0"/>
          <w:i w:val="0"/>
          <w:sz w:val="22"/>
        </w:rPr>
        <w:t>ESHRE 2025 quy định 3 bước cá thể hoá trước khi stimulate: (1) tiên đoán mức đáp ứng bằng AFC hoặc AMH, (2) chọn starting dose gonadotropin dựa trên predicted response, (3) chọn protocol (antagonist vs agonist, trigger, freeze-all) theo phenotype.</w:t>
      </w:r>
    </w:p>
    <w:p>
      <w:pPr>
        <w:spacing w:after="120" w:line="300" w:lineRule="auto"/>
      </w:pPr>
      <w:r>
        <w:rPr>
          <w:b w:val="0"/>
          <w:i w:val="0"/>
          <w:sz w:val="22"/>
        </w:rPr>
        <w:t>Lý do sinh học: cùng một liều FSH có thể gây OHSS ở người này nhưng không đủ noãn ở người khác — phụ thuộc vào FSH threshold của nang noãn (mỗi nang có ngưỡng FSH riêng) và số nang cận trội có sẵn trong cohort (đại diện bởi AFC/AMH).</w:t>
      </w:r>
    </w:p>
    <w:p>
      <w:pPr>
        <w:spacing w:before="280" w:after="160"/>
      </w:pPr>
      <w:r>
        <w:rPr>
          <w:b/>
          <w:color w:val="1F3864"/>
          <w:sz w:val="32"/>
        </w:rPr>
        <w:t>2. Tiêu chí phân nhóm</w:t>
      </w:r>
    </w:p>
    <w:p>
      <w:pPr>
        <w:spacing w:before="200" w:after="120"/>
      </w:pPr>
      <w:r>
        <w:rPr>
          <w:b/>
          <w:color w:val="2E5C9B"/>
          <w:sz w:val="26"/>
        </w:rPr>
        <w:t>2.1. ESHRE 2025 — phân nhóm chính thức trong guideline</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587"/>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Nhóm</w:t>
            </w:r>
          </w:p>
        </w:tc>
        <w:tc>
          <w:tcPr>
            <w:tcW w:type="dxa" w:w="850"/>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AFC</w:t>
            </w:r>
          </w:p>
        </w:tc>
        <w:tc>
          <w:tcPr>
            <w:tcW w:type="dxa" w:w="1984"/>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AMH</w:t>
            </w:r>
          </w:p>
        </w:tc>
        <w:tc>
          <w:tcPr>
            <w:tcW w:type="dxa" w:w="1417"/>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Tuổi</w:t>
            </w:r>
          </w:p>
        </w:tc>
        <w:tc>
          <w:tcPr>
            <w:tcW w:type="dxa" w:w="3118"/>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Lưu ý</w:t>
            </w:r>
          </w:p>
        </w:tc>
      </w:tr>
      <w:tr>
        <w:tc>
          <w:tcPr>
            <w:tcW w:type="dxa" w:w="1587"/>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High responder</w:t>
            </w:r>
          </w:p>
        </w:tc>
        <w:tc>
          <w:tcPr>
            <w:tcW w:type="dxa" w:w="85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&gt; 20</w:t>
            </w:r>
          </w:p>
        </w:tc>
        <w:tc>
          <w:tcPr>
            <w:tcW w:type="dxa" w:w="198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&gt; 3,5 ng/mL (≈ 25 pmol/L)</w:t>
            </w:r>
          </w:p>
        </w:tc>
        <w:tc>
          <w:tcPr>
            <w:tcW w:type="dxa" w:w="1417"/>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thường &lt; 35</w:t>
            </w:r>
          </w:p>
        </w:tc>
        <w:tc>
          <w:tcPr>
            <w:tcW w:type="dxa" w:w="311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Nguy cơ OHSS</w:t>
            </w:r>
          </w:p>
        </w:tc>
      </w:tr>
      <w:tr>
        <w:tc>
          <w:tcPr>
            <w:tcW w:type="dxa" w:w="1587"/>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Normal responder</w:t>
            </w:r>
          </w:p>
        </w:tc>
        <w:tc>
          <w:tcPr>
            <w:tcW w:type="dxa" w:w="85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8–20</w:t>
            </w:r>
          </w:p>
        </w:tc>
        <w:tc>
          <w:tcPr>
            <w:tcW w:type="dxa" w:w="198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1,0–3,5 ng/mL</w:t>
            </w:r>
          </w:p>
        </w:tc>
        <w:tc>
          <w:tcPr>
            <w:tcW w:type="dxa" w:w="1417"/>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30–40</w:t>
            </w:r>
          </w:p>
        </w:tc>
        <w:tc>
          <w:tcPr>
            <w:tcW w:type="dxa" w:w="311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"Conventional dose 150–225 IU"</w:t>
            </w:r>
          </w:p>
        </w:tc>
      </w:tr>
      <w:tr>
        <w:tc>
          <w:tcPr>
            <w:tcW w:type="dxa" w:w="1587"/>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Low responder</w:t>
            </w:r>
          </w:p>
        </w:tc>
        <w:tc>
          <w:tcPr>
            <w:tcW w:type="dxa" w:w="85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&lt; 5–7</w:t>
            </w:r>
          </w:p>
        </w:tc>
        <w:tc>
          <w:tcPr>
            <w:tcW w:type="dxa" w:w="198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&lt; 1,0 ng/mL (≈ 7 pmol/L)</w:t>
            </w:r>
          </w:p>
        </w:tc>
        <w:tc>
          <w:tcPr>
            <w:tcW w:type="dxa" w:w="1417"/>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thường &gt; 35</w:t>
            </w:r>
          </w:p>
        </w:tc>
        <w:tc>
          <w:tcPr>
            <w:tcW w:type="dxa" w:w="311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Heterogeneous group</w:t>
            </w:r>
          </w:p>
        </w:tc>
      </w:tr>
    </w:tbl>
    <w:p>
      <w:pPr>
        <w:spacing w:after="120" w:line="300" w:lineRule="auto"/>
      </w:pPr>
      <w:r>
        <w:rPr>
          <w:b w:val="0"/>
          <w:i/>
          <w:sz w:val="22"/>
        </w:rPr>
        <w:t>ESHRE 2025: AFC và AMH equally recommended để tiên đoán high/low response (Strong, ⊕◯◯◯). Basal FSH, E2, inhibin B, LH KHÔNG khuyến cáo. Female age + BMI là predictors duy nhất cho pregnancy/LB (không phải cho response).</w:t>
      </w:r>
    </w:p>
    <w:p>
      <w:pPr>
        <w:spacing w:before="200" w:after="120"/>
      </w:pPr>
      <w:r>
        <w:rPr>
          <w:b/>
          <w:color w:val="2E5C9B"/>
          <w:sz w:val="26"/>
        </w:rPr>
        <w:t>2.2. Bologna 2011 — tiêu chuẩn "poor responder" cũ</w:t>
      </w:r>
    </w:p>
    <w:p>
      <w:pPr>
        <w:spacing w:after="120" w:line="300" w:lineRule="auto"/>
      </w:pPr>
      <w:r>
        <w:rPr>
          <w:b w:val="0"/>
          <w:i w:val="0"/>
          <w:sz w:val="22"/>
        </w:rPr>
        <w:t>Ferraretti 2011 (PMID 21813145) — cần ≥ 3/3 tiêu chí:</w:t>
      </w:r>
    </w:p>
    <w:p>
      <w:pPr>
        <w:pStyle w:val="ListBullet"/>
        <w:spacing w:after="40"/>
      </w:pPr>
      <w:r/>
      <w:r>
        <w:rPr>
          <w:sz w:val="22"/>
        </w:rPr>
        <w:t>Tuổi ≥ 40 HOẶC có yếu tố nguy cơ khác</w:t>
      </w:r>
    </w:p>
    <w:p>
      <w:pPr>
        <w:pStyle w:val="ListBullet"/>
        <w:spacing w:after="40"/>
      </w:pPr>
      <w:r/>
      <w:r>
        <w:rPr>
          <w:sz w:val="22"/>
        </w:rPr>
        <w:t>Trước đây đáp ứng kém (≤ 3 noãn với protocol chuẩn)</w:t>
      </w:r>
    </w:p>
    <w:p>
      <w:pPr>
        <w:pStyle w:val="ListBullet"/>
        <w:spacing w:after="40"/>
      </w:pPr>
      <w:r/>
      <w:r>
        <w:rPr>
          <w:sz w:val="22"/>
        </w:rPr>
        <w:t>Bất thường test dự trữ buồng trứng (AFC &lt; 5–7 hoặc AMH &lt; 0,5–1,1 ng/mL)</w:t>
      </w:r>
    </w:p>
    <w:p>
      <w:pPr>
        <w:spacing w:after="120" w:line="300" w:lineRule="auto"/>
      </w:pPr>
      <w:r>
        <w:rPr>
          <w:b w:val="0"/>
          <w:i/>
          <w:sz w:val="22"/>
        </w:rPr>
        <w:t>Bologna bị chỉ trích vì quá rộng — 1 nhóm "poor responder" bao gồm cả người 28 tuổi AMH thấp lẫn người 42 tuổi bình thường → không đồng nhất để nghiên cứu. Đó là lý do POSEIDON ra đời.</w:t>
      </w:r>
    </w:p>
    <w:p>
      <w:pPr>
        <w:spacing w:before="200" w:after="120"/>
      </w:pPr>
      <w:r>
        <w:rPr>
          <w:b/>
          <w:color w:val="2E5C9B"/>
          <w:sz w:val="26"/>
        </w:rPr>
        <w:t>2.3. POSEIDON 2016 — phân nhóm tiên lượng</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417"/>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Group</w:t>
            </w:r>
          </w:p>
        </w:tc>
        <w:tc>
          <w:tcPr>
            <w:tcW w:type="dxa" w:w="850"/>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Tuổi</w:t>
            </w:r>
          </w:p>
        </w:tc>
        <w:tc>
          <w:tcPr>
            <w:tcW w:type="dxa" w:w="1984"/>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Reserve (AFC / AMH)</w:t>
            </w:r>
          </w:p>
        </w:tc>
        <w:tc>
          <w:tcPr>
            <w:tcW w:type="dxa" w:w="2835"/>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Đặc điểm</w:t>
            </w:r>
          </w:p>
        </w:tc>
        <w:tc>
          <w:tcPr>
            <w:tcW w:type="dxa" w:w="2268"/>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Prognosis</w:t>
            </w:r>
          </w:p>
        </w:tc>
      </w:tr>
      <w:tr>
        <w:tc>
          <w:tcPr>
            <w:tcW w:type="dxa" w:w="1417"/>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POSEIDON 1</w:t>
            </w:r>
          </w:p>
        </w:tc>
        <w:tc>
          <w:tcPr>
            <w:tcW w:type="dxa" w:w="85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&lt; 35</w:t>
            </w:r>
          </w:p>
        </w:tc>
        <w:tc>
          <w:tcPr>
            <w:tcW w:type="dxa" w:w="198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AFC ≥ 5, AMH ≥ 1,2</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Đáp ứng kém bất ngờ (&lt; 4 noãn) sau stim lần 1</w:t>
            </w:r>
          </w:p>
        </w:tc>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Tốt nhất trong low (vì tuổi trẻ + reserve còn)</w:t>
            </w:r>
          </w:p>
        </w:tc>
      </w:tr>
      <w:tr>
        <w:tc>
          <w:tcPr>
            <w:tcW w:type="dxa" w:w="1417"/>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POSEIDON 2</w:t>
            </w:r>
          </w:p>
        </w:tc>
        <w:tc>
          <w:tcPr>
            <w:tcW w:type="dxa" w:w="85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 35</w:t>
            </w:r>
          </w:p>
        </w:tc>
        <w:tc>
          <w:tcPr>
            <w:tcW w:type="dxa" w:w="198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AFC ≥ 5, AMH ≥ 1,2</w:t>
            </w:r>
          </w:p>
        </w:tc>
        <w:tc>
          <w:tcPr>
            <w:tcW w:type="dxa" w:w="28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Đáp ứng kém bất ngờ sau stim lần 1</w:t>
            </w:r>
          </w:p>
        </w:tc>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Trung bình</w:t>
            </w:r>
          </w:p>
        </w:tc>
      </w:tr>
      <w:tr>
        <w:tc>
          <w:tcPr>
            <w:tcW w:type="dxa" w:w="1417"/>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POSEIDON 3</w:t>
            </w:r>
          </w:p>
        </w:tc>
        <w:tc>
          <w:tcPr>
            <w:tcW w:type="dxa" w:w="85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&lt; 35</w:t>
            </w:r>
          </w:p>
        </w:tc>
        <w:tc>
          <w:tcPr>
            <w:tcW w:type="dxa" w:w="198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AFC &lt; 5, AMH &lt; 1,2</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Poor reserve trẻ</w:t>
            </w:r>
          </w:p>
        </w:tc>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Kém hơn nhóm 1</w:t>
            </w:r>
          </w:p>
        </w:tc>
      </w:tr>
      <w:tr>
        <w:tc>
          <w:tcPr>
            <w:tcW w:type="dxa" w:w="1417"/>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POSEIDON 4</w:t>
            </w:r>
          </w:p>
        </w:tc>
        <w:tc>
          <w:tcPr>
            <w:tcW w:type="dxa" w:w="85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 35</w:t>
            </w:r>
          </w:p>
        </w:tc>
        <w:tc>
          <w:tcPr>
            <w:tcW w:type="dxa" w:w="198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AFC &lt; 5, AMH &lt; 1,2</w:t>
            </w:r>
          </w:p>
        </w:tc>
        <w:tc>
          <w:tcPr>
            <w:tcW w:type="dxa" w:w="28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Poor reserve + advanced age</w:t>
            </w:r>
          </w:p>
        </w:tc>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Kém nhất</w:t>
            </w:r>
          </w:p>
        </w:tc>
      </w:tr>
    </w:tbl>
    <w:p>
      <w:pPr>
        <w:spacing w:after="120" w:line="300" w:lineRule="auto"/>
      </w:pPr>
      <w:r>
        <w:rPr>
          <w:b w:val="0"/>
          <w:i/>
          <w:sz w:val="22"/>
        </w:rPr>
        <w:t>ESHRE 2025 KHÔNG chính thức adopt POSEIDON trong guideline này — vẫn dùng framework high/normal/low. Nhưng guideline không phủ nhận POSEIDON; chỉ chọn cách đơn giản hơn. Trên lâm sàng vẫn dùng POSEIDON song song để tiên lượng. (Alviggi 2016 PMID 27416005; Esteves 2019 PMID 31725807)</w:t>
      </w:r>
    </w:p>
    <w:p>
      <w:pPr>
        <w:spacing w:before="200" w:after="120"/>
      </w:pPr>
      <w:r>
        <w:rPr>
          <w:b/>
          <w:color w:val="2E5C9B"/>
          <w:sz w:val="26"/>
        </w:rPr>
        <w:t>2.4. Sub-phenotype đặc biệt cần lưu ý</w:t>
      </w:r>
    </w:p>
    <w:p>
      <w:pPr>
        <w:pStyle w:val="ListBullet"/>
        <w:spacing w:after="40"/>
      </w:pPr>
      <w:r/>
      <w:r>
        <w:rPr>
          <w:sz w:val="22"/>
        </w:rPr>
        <w:t>PCOS (Rotterdam 2003) → thuộc high responder nhưng đặc biệt (insulin resistance, OHSS cao nhất)</w:t>
      </w:r>
    </w:p>
    <w:p>
      <w:pPr>
        <w:pStyle w:val="ListBullet"/>
        <w:spacing w:after="40"/>
      </w:pPr>
      <w:r/>
      <w:r>
        <w:rPr>
          <w:sz w:val="22"/>
        </w:rPr>
        <w:t>Endometriosis stage III–IV → thường low responder, đặc biệt sau phẫu thuật buồng trứng</w:t>
      </w:r>
    </w:p>
    <w:p>
      <w:pPr>
        <w:pStyle w:val="ListBullet"/>
        <w:spacing w:after="40"/>
      </w:pPr>
      <w:r/>
      <w:r>
        <w:rPr>
          <w:sz w:val="22"/>
        </w:rPr>
        <w:t>Advanced age ≥ 42 → xem xét oocyte donation thay vì stimulation</w:t>
      </w:r>
    </w:p>
    <w:p>
      <w:pPr>
        <w:pStyle w:val="ListBullet"/>
        <w:spacing w:after="40"/>
      </w:pPr>
      <w:r/>
      <w:r>
        <w:rPr>
          <w:sz w:val="22"/>
        </w:rPr>
        <w:t>Oncology fertility preservation → nhóm riêng, ưu tiên random-start + letrozole</w:t>
      </w:r>
    </w:p>
    <w:p>
      <w:pPr>
        <w:spacing w:before="280" w:after="160"/>
      </w:pPr>
      <w:r>
        <w:rPr>
          <w:b/>
          <w:color w:val="1F3864"/>
          <w:sz w:val="32"/>
        </w:rPr>
        <w:t>3. Phác đồ tương ứng theo từng nhóm</w:t>
      </w:r>
    </w:p>
    <w:p>
      <w:pPr>
        <w:spacing w:before="200" w:after="120"/>
      </w:pPr>
      <w:r>
        <w:rPr>
          <w:b/>
          <w:color w:val="2E5C9B"/>
          <w:sz w:val="26"/>
        </w:rPr>
        <w:t>3.1. HIGH RESPONDER (AMH &gt; 3,5 / AFC &gt; 20 / tuổi &lt; 35 / PCOS)</w:t>
      </w:r>
    </w:p>
    <w:p>
      <w:pPr>
        <w:spacing w:after="120" w:line="300" w:lineRule="auto"/>
      </w:pPr>
      <w:r>
        <w:rPr>
          <w:b w:val="0"/>
          <w:i/>
          <w:sz w:val="22"/>
        </w:rPr>
        <w:t>Mục tiêu: giảm OHSS, kiểm soát số noãn, fresh transfer vẫn OK nếu dùng dual trigger.</w:t>
      </w:r>
    </w:p>
    <w:tbl>
      <w:tblPr>
        <w:tblW w:type="auto" w:w="0"/>
        <w:jc w:val="center"/>
        <w:tblLayout w:type="fixed"/>
        <w:tblLook w:firstColumn="1" w:firstRow="1" w:lastColumn="0" w:lastRow="0" w:noHBand="0" w:noVBand="1" w:val="04A0"/>
      </w:tblPr>
      <w:tblGrid>
        <w:gridCol w:w="3324"/>
        <w:gridCol w:w="3324"/>
        <w:gridCol w:w="3324"/>
      </w:tblGrid>
      <w:tr>
        <w:tc>
          <w:tcPr>
            <w:tcW w:type="dxa" w:w="2268"/>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Thành phần</w:t>
            </w:r>
          </w:p>
        </w:tc>
        <w:tc>
          <w:tcPr>
            <w:tcW w:type="dxa" w:w="4252"/>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Khuyến cáo ESHRE 2025</w:t>
            </w:r>
          </w:p>
        </w:tc>
        <w:tc>
          <w:tcPr>
            <w:tcW w:type="dxa" w:w="2835"/>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Mức khuyến cáo</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Protocol</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GnRH antagonist</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Starting dose FSH</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100 đến &lt;150 IU/ngày</w:t>
            </w:r>
          </w:p>
        </w:tc>
        <w:tc>
          <w:tcPr>
            <w:tcW w:type="dxa" w:w="28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Conditional ⊕◯◯◯ (NEW 2025)</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Trigger (freeze-all)</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GnRH agonist 0,1–0,2 mg (Triptorelin/Leuprolide)</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 (NEW 2025 donor)</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Dual trigger (fresh ET)</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GnRH agonist + hCG 1.500 IU</w:t>
            </w:r>
          </w:p>
        </w:tc>
        <w:tc>
          <w:tcPr>
            <w:tcW w:type="dxa" w:w="28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GPP</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hCG đơn thuần (donor/high)</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KHÔNG routine</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 (NEW 2025 donor)</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Luteal support</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Standard + aggressive LPS nếu GnRH trigger</w:t>
            </w:r>
          </w:p>
        </w:tc>
        <w:tc>
          <w:tcPr>
            <w:tcW w:type="dxa" w:w="28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Freeze-all</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Cân nhắc nếu &gt; 15–18 noãn hoặc E2 &gt; 3.000 pg/mL</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GPP</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Letrozole add-on</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Probably NOT</w:t>
            </w:r>
          </w:p>
        </w:tc>
        <w:tc>
          <w:tcPr>
            <w:tcW w:type="dxa" w:w="28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Conditional ⊕◯◯◯</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CC add-on</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Probably NOT</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Conditional ⊕⊕◯◯</w:t>
            </w:r>
          </w:p>
        </w:tc>
      </w:tr>
    </w:tbl>
    <w:p>
      <w:pPr>
        <w:spacing w:after="120" w:line="300" w:lineRule="auto"/>
      </w:pPr>
      <w:r>
        <w:rPr>
          <w:b/>
          <w:i w:val="0"/>
          <w:sz w:val="22"/>
        </w:rPr>
        <w:t>Lý do sinh học:</w:t>
      </w:r>
    </w:p>
    <w:p>
      <w:pPr>
        <w:spacing w:after="120" w:line="300" w:lineRule="auto"/>
      </w:pPr>
      <w:r>
        <w:rPr>
          <w:b w:val="0"/>
          <w:i w:val="0"/>
          <w:sz w:val="22"/>
        </w:rPr>
        <w:t>High responder có nhiều nang cận trội → dùng liều FSH thấp vẫn đủ vượt FSH threshold → giảm OHSS. GnRH antagonist không có flare effect nên không kích thích thêm nang. GnRH trigger tạo LH/FSH surge nội sinh → cuối cùng noãn vẫn mature → KHÔNG có hCG tồn lưu (half-life hCG ~30h vs LH surge chỉ vài giờ) → giảm kích thích VEGF từ tế bào hạt → giảm thoát dịch → giảm OHSS.</w:t>
      </w:r>
    </w:p>
    <w:p>
      <w:pPr>
        <w:spacing w:after="120" w:line="300" w:lineRule="auto"/>
      </w:pPr>
      <w:r>
        <w:rPr>
          <w:b/>
          <w:i/>
          <w:sz w:val="22"/>
        </w:rPr>
        <w:t>Clinical pearl: Antagonist + GnRH trigger + freeze-all = gần như loại bỏ OHSS nặng.</w:t>
      </w:r>
    </w:p>
    <w:p>
      <w:pPr>
        <w:spacing w:before="200" w:after="120"/>
      </w:pPr>
      <w:r>
        <w:rPr>
          <w:b/>
          <w:color w:val="2E5C9B"/>
          <w:sz w:val="26"/>
        </w:rPr>
        <w:t>3.2. NORMAL RESPONDER (AMH 1,0–3,5 / AFC 8–20 / tuổi 30–40)</w:t>
      </w:r>
    </w:p>
    <w:p>
      <w:pPr>
        <w:spacing w:after="120" w:line="300" w:lineRule="auto"/>
      </w:pPr>
      <w:r>
        <w:rPr>
          <w:b w:val="0"/>
          <w:i/>
          <w:sz w:val="22"/>
        </w:rPr>
        <w:t>Mục tiêu: tối ưu số noãn (8–14), cân bằng efficacy vs safety.</w:t>
      </w:r>
    </w:p>
    <w:tbl>
      <w:tblPr>
        <w:tblW w:type="auto" w:w="0"/>
        <w:jc w:val="center"/>
        <w:tblLayout w:type="fixed"/>
        <w:tblLook w:firstColumn="1" w:firstRow="1" w:lastColumn="0" w:lastRow="0" w:noHBand="0" w:noVBand="1" w:val="04A0"/>
      </w:tblPr>
      <w:tblGrid>
        <w:gridCol w:w="3324"/>
        <w:gridCol w:w="3324"/>
        <w:gridCol w:w="3324"/>
      </w:tblGrid>
      <w:tr>
        <w:tc>
          <w:tcPr>
            <w:tcW w:type="dxa" w:w="2268"/>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Thành phần</w:t>
            </w:r>
          </w:p>
        </w:tc>
        <w:tc>
          <w:tcPr>
            <w:tcW w:type="dxa" w:w="4535"/>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Khuyến cáo ESHRE 2025</w:t>
            </w:r>
          </w:p>
        </w:tc>
        <w:tc>
          <w:tcPr>
            <w:tcW w:type="dxa" w:w="2551"/>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Mức khuyến cáo</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Protocol</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GnRH antagonist (first-line)</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Starting dose FSH</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150–225 IU/ngày ("conventional dose" — định nghĩa mới 2025)</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Conditional ⊕◯◯◯</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Trigger (fresh ET)</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hCG 5.000–10.000 IU</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Trigger (freeze-all)</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GnRH agonist (nếu cần)</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Antagonist fixed vs flexible</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Fixed probably &gt; flexible</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Conditional ⊕⊕◯◯ (NEW 2025)</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r-hFSH vs hp-FSH</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Equally recommended</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 ⊕⊕⊕◯</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r-hFSH vs hMG</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Equally recommended</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Long-acting r-FSH (corifollitropin alfa)</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Equally recommended (antagonist, normal)</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 ⊕◯◯◯</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r-hFSH + r-hLH vs r-hFSH alone</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Probably equally recommended (general, ≥35, low)</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Conditional ⊕⊕◯◯ (NEW 2025)</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Delayed-start stimulation</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Probably NOT</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Conditional ⊕◯◯◯ (NEW 2025)</w:t>
            </w:r>
          </w:p>
        </w:tc>
      </w:tr>
    </w:tbl>
    <w:p>
      <w:pPr>
        <w:spacing w:after="120" w:line="300" w:lineRule="auto"/>
      </w:pPr>
      <w:r>
        <w:rPr>
          <w:b/>
          <w:i w:val="0"/>
          <w:sz w:val="22"/>
        </w:rPr>
        <w:t>Lý do sinh học:</w:t>
      </w:r>
    </w:p>
    <w:p>
      <w:pPr>
        <w:spacing w:after="120" w:line="300" w:lineRule="auto"/>
      </w:pPr>
      <w:r>
        <w:rPr>
          <w:b w:val="0"/>
          <w:i w:val="0"/>
          <w:sz w:val="22"/>
        </w:rPr>
        <w:t>Normal responder có cohort nang vừa đủ → cần FSH liều chuẩn để vượt threshold cho tất cả nang cận trội. Giảm liều → mất một số nang; tăng liều → không thêm noãn, chỉ tốn tiền. Antagonist đảm bảo kiểm soát LH surge, giảm cancel do LH sớm.</w:t>
      </w:r>
    </w:p>
    <w:p>
      <w:pPr>
        <w:spacing w:after="120" w:line="300" w:lineRule="auto"/>
      </w:pPr>
      <w:r>
        <w:rPr>
          <w:b/>
          <w:i/>
          <w:sz w:val="22"/>
        </w:rPr>
        <w:t>Clinical pearl: Tránh "start thấp rồi tăng" (mid-cycle adjustment) — ESHRE 2025 probably not recommended. Chọn đúng starting dose từ đầu dựa vào AMH/AFC/tuổi.</w:t>
      </w:r>
    </w:p>
    <w:p>
      <w:pPr>
        <w:spacing w:before="200" w:after="120"/>
      </w:pPr>
      <w:r>
        <w:rPr>
          <w:b/>
          <w:color w:val="2E5C9B"/>
          <w:sz w:val="26"/>
        </w:rPr>
        <w:t>3.3. LOW RESPONDER (AMH &lt; 1,0 / AFC &lt; 5–7 / tuổi thường &gt; 35)</w:t>
      </w:r>
    </w:p>
    <w:p>
      <w:pPr>
        <w:spacing w:after="120" w:line="300" w:lineRule="auto"/>
      </w:pPr>
      <w:r>
        <w:rPr>
          <w:b/>
          <w:i/>
          <w:sz w:val="22"/>
        </w:rPr>
        <w:t>Quan trọng: nhóm heterogeneous nhất → phải stratify thành POSEIDON 1-4 hoặc tách very low reserve (AMH &lt; 0,5, AFC &lt; 3) ra khỏi "low bình thường".</w:t>
      </w:r>
    </w:p>
    <w:tbl>
      <w:tblPr>
        <w:tblW w:type="auto" w:w="0"/>
        <w:jc w:val="center"/>
        <w:tblLayout w:type="fixed"/>
        <w:tblLook w:firstColumn="1" w:firstRow="1" w:lastColumn="0" w:lastRow="0" w:noHBand="0" w:noVBand="1" w:val="04A0"/>
      </w:tblPr>
      <w:tblGrid>
        <w:gridCol w:w="3324"/>
        <w:gridCol w:w="3324"/>
        <w:gridCol w:w="3324"/>
      </w:tblGrid>
      <w:tr>
        <w:tc>
          <w:tcPr>
            <w:tcW w:type="dxa" w:w="2268"/>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Thành phần</w:t>
            </w:r>
          </w:p>
        </w:tc>
        <w:tc>
          <w:tcPr>
            <w:tcW w:type="dxa" w:w="4535"/>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Khuyến cáo ESHRE 2025</w:t>
            </w:r>
          </w:p>
        </w:tc>
        <w:tc>
          <w:tcPr>
            <w:tcW w:type="dxa" w:w="2551"/>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Mức khuyến cáo</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Protocol</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Antagonist OR long agonist (equally effective)</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 (antagonist vs agonist overall)</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Starting dose FSH</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KHÔNG &gt; 300 IU</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 ⊕◯◯◯ (giữ từ 2019)</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Modified natural cycle (MNC)</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Probably NOT routinely over conventional</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Conditional ⊕◯◯◯ (updated)</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MNC escape valve</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GPP: very low reserve CÓ THỂ chọn MNC</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GPP (NEW 2025)</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CC ± gonadotropin vs gonadotropin alone</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Probably equally recommended</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Conditional ⊕⊕◯◯ (updated)</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Letrozole add-on</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Probably NOT</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Conditional ⊕⊕◯◯</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DuoStim (follicular + luteal)</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cho oocyte accumulation / urgent FP</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 (NÂNG từ GPP)</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Random-start / luteal start</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Có thể dùng khi KHÔNG fresh transfer</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Conditional ⊕◯◯◯</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Growth hormone adjunct</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Probably NOT</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Conditional ⊕◯◯◯</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Testosterone adjunct</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Probably NOT</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Conditional ⊕⊕⊕◯</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DHEA adjunct</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NOT recommended</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 (NEW 2025 cho cả normal)</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Myo-inositol</w:t>
            </w:r>
          </w:p>
        </w:tc>
        <w:tc>
          <w:tcPr>
            <w:tcW w:type="dxa" w:w="45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NOT recommended</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 ⊕⊕◯◯ (NEW 2025)</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Aspirin / Sildenafil</w:t>
            </w:r>
          </w:p>
        </w:tc>
        <w:tc>
          <w:tcPr>
            <w:tcW w:type="dxa" w:w="45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NOT recommended</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w:t>
            </w:r>
          </w:p>
        </w:tc>
      </w:tr>
    </w:tbl>
    <w:p>
      <w:pPr>
        <w:spacing w:before="160" w:after="80"/>
      </w:pPr>
      <w:r>
        <w:rPr>
          <w:b/>
          <w:color w:val="2E5C9B"/>
          <w:sz w:val="24"/>
        </w:rPr>
        <w:t>Phác đồ cụ thể theo POSEIDON (thực hành lâm sàng, không phải ESHRE chính thức)</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134"/>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POSEIDON</w:t>
            </w:r>
          </w:p>
        </w:tc>
        <w:tc>
          <w:tcPr>
            <w:tcW w:type="dxa" w:w="850"/>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Tuổi</w:t>
            </w:r>
          </w:p>
        </w:tc>
        <w:tc>
          <w:tcPr>
            <w:tcW w:type="dxa" w:w="850"/>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Reserve</w:t>
            </w:r>
          </w:p>
        </w:tc>
        <w:tc>
          <w:tcPr>
            <w:tcW w:type="dxa" w:w="3969"/>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Phác đồ ưu tiên</w:t>
            </w:r>
          </w:p>
        </w:tc>
        <w:tc>
          <w:tcPr>
            <w:tcW w:type="dxa" w:w="2835"/>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Lưu ý</w:t>
            </w:r>
          </w:p>
        </w:tc>
      </w:tr>
      <w:tr>
        <w:tc>
          <w:tcPr>
            <w:tcW w:type="dxa" w:w="113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1</w:t>
            </w:r>
          </w:p>
        </w:tc>
        <w:tc>
          <w:tcPr>
            <w:tcW w:type="dxa" w:w="85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&lt; 35</w:t>
            </w:r>
          </w:p>
        </w:tc>
        <w:tc>
          <w:tcPr>
            <w:tcW w:type="dxa" w:w="85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OK</w:t>
            </w:r>
          </w:p>
        </w:tc>
        <w:tc>
          <w:tcPr>
            <w:tcW w:type="dxa" w:w="3969"/>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Antagonist, tăng dose (225–300 IU) cycle 2 nếu cycle 1 &lt; 4 noãn</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Cân nhắc thêm r-hLH; có thể chuyển long agonist</w:t>
            </w:r>
          </w:p>
        </w:tc>
      </w:tr>
      <w:tr>
        <w:tc>
          <w:tcPr>
            <w:tcW w:type="dxa" w:w="113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2</w:t>
            </w:r>
          </w:p>
        </w:tc>
        <w:tc>
          <w:tcPr>
            <w:tcW w:type="dxa" w:w="85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 35</w:t>
            </w:r>
          </w:p>
        </w:tc>
        <w:tc>
          <w:tcPr>
            <w:tcW w:type="dxa" w:w="85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OK</w:t>
            </w:r>
          </w:p>
        </w:tc>
        <w:tc>
          <w:tcPr>
            <w:tcW w:type="dxa" w:w="3969"/>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Antagonist 225 IU + r-hLH 75–150 IU; trigger hCG standard</w:t>
            </w:r>
          </w:p>
        </w:tc>
        <w:tc>
          <w:tcPr>
            <w:tcW w:type="dxa" w:w="28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Tiên lượng tốt hơn 3,4 nhờ reserve còn</w:t>
            </w:r>
          </w:p>
        </w:tc>
      </w:tr>
      <w:tr>
        <w:tc>
          <w:tcPr>
            <w:tcW w:type="dxa" w:w="113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3</w:t>
            </w:r>
          </w:p>
        </w:tc>
        <w:tc>
          <w:tcPr>
            <w:tcW w:type="dxa" w:w="85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&lt; 35</w:t>
            </w:r>
          </w:p>
        </w:tc>
        <w:tc>
          <w:tcPr>
            <w:tcW w:type="dxa" w:w="85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Kém</w:t>
            </w:r>
          </w:p>
        </w:tc>
        <w:tc>
          <w:tcPr>
            <w:tcW w:type="dxa" w:w="3969"/>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Antagonist 300 IU + r-hLH; cân nhắc DuoStim; tích lũy phôi; MNC nếu AMH &lt; 0,5</w:t>
            </w:r>
          </w:p>
        </w:tc>
        <w:tc>
          <w:tcPr>
            <w:tcW w:type="dxa" w:w="2835"/>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Prognosis gần POSEIDON 1 nếu số noãn ≥ 4</w:t>
            </w:r>
          </w:p>
        </w:tc>
      </w:tr>
      <w:tr>
        <w:tc>
          <w:tcPr>
            <w:tcW w:type="dxa" w:w="113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4</w:t>
            </w:r>
          </w:p>
        </w:tc>
        <w:tc>
          <w:tcPr>
            <w:tcW w:type="dxa" w:w="85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 35</w:t>
            </w:r>
          </w:p>
        </w:tc>
        <w:tc>
          <w:tcPr>
            <w:tcW w:type="dxa" w:w="85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Kém</w:t>
            </w:r>
          </w:p>
        </w:tc>
        <w:tc>
          <w:tcPr>
            <w:tcW w:type="dxa" w:w="3969"/>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MNC hoặc DuoStim; nói chuyện thật về prognosis; donor oocyte thường tốt hơn</w:t>
            </w:r>
          </w:p>
        </w:tc>
        <w:tc>
          <w:tcPr>
            <w:tcW w:type="dxa" w:w="2835"/>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Cumulative LBR sau 2 cycle thường 5–15%</w:t>
            </w:r>
          </w:p>
        </w:tc>
      </w:tr>
    </w:tbl>
    <w:p>
      <w:pPr>
        <w:spacing w:after="120" w:line="300" w:lineRule="auto"/>
      </w:pPr>
      <w:r>
        <w:rPr>
          <w:b/>
          <w:i w:val="0"/>
          <w:sz w:val="22"/>
        </w:rPr>
        <w:t>Lý do sinh học của MNC trong very low reserve:</w:t>
      </w:r>
    </w:p>
    <w:p>
      <w:pPr>
        <w:spacing w:after="120" w:line="300" w:lineRule="auto"/>
      </w:pPr>
      <w:r>
        <w:rPr>
          <w:b w:val="0"/>
          <w:i w:val="0"/>
          <w:sz w:val="22"/>
        </w:rPr>
        <w:t>Khi AMH &lt; 0,5, cohort nang cận trội chỉ 1–2 nang. FSH liều cao vẫn không tạo thêm nang (vì không có nang để "cứu"). Lúc này dùng FSH liều thấp chỉ để hỗ trợ 1 nang tự nhiên tiết kiệm chi phí, tránh tăng E2 quá mức → fresh transfer an toàn hơn. Modified natural = đợi nang trội tự nhiên 14–18 mm → thêm GnRH antagonist + trigger GnRH agonist + hCG nhỏ → ET cùng chu kỳ.</w:t>
      </w:r>
    </w:p>
    <w:p>
      <w:pPr>
        <w:spacing w:before="200" w:after="120"/>
      </w:pPr>
      <w:r>
        <w:rPr>
          <w:b/>
          <w:color w:val="2E5C9B"/>
          <w:sz w:val="26"/>
        </w:rPr>
        <w:t>3.4. ADVANCED AGE (≥ 42 tuổi) — group riêng</w:t>
      </w:r>
    </w:p>
    <w:p>
      <w:pPr>
        <w:spacing w:after="120" w:line="300" w:lineRule="auto"/>
      </w:pPr>
      <w:r>
        <w:rPr>
          <w:b w:val="0"/>
          <w:i/>
          <w:sz w:val="22"/>
        </w:rPr>
        <w:t>Mục tiêu: realistic counseling, cân nhắc donor oocyte.</w:t>
      </w:r>
    </w:p>
    <w:tbl>
      <w:tblPr>
        <w:tblW w:type="auto" w:w="0"/>
        <w:jc w:val="center"/>
        <w:tblLayout w:type="fixed"/>
        <w:tblLook w:firstColumn="1" w:firstRow="1" w:lastColumn="0" w:lastRow="0" w:noHBand="0" w:noVBand="1" w:val="04A0"/>
      </w:tblPr>
      <w:tblGrid>
        <w:gridCol w:w="4986"/>
        <w:gridCol w:w="4986"/>
      </w:tblGrid>
      <w:tr>
        <w:tc>
          <w:tcPr>
            <w:tcW w:type="dxa" w:w="2268"/>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Thành phần</w:t>
            </w:r>
          </w:p>
        </w:tc>
        <w:tc>
          <w:tcPr>
            <w:tcW w:type="dxa" w:w="6803"/>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Khuyến cáo</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Protocol</w:t>
            </w:r>
          </w:p>
        </w:tc>
        <w:tc>
          <w:tcPr>
            <w:tcW w:type="dxa" w:w="6803"/>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Antagonist 225–300 IU + r-hLH</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Trigger</w:t>
            </w:r>
          </w:p>
        </w:tc>
        <w:tc>
          <w:tcPr>
            <w:tcW w:type="dxa" w:w="6803"/>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hCG standard (GnRH trigger KHÔNG khuyến cáo cho advanced age — LH surge nội sinh yếu)</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MNC</w:t>
            </w:r>
          </w:p>
        </w:tc>
        <w:tc>
          <w:tcPr>
            <w:tcW w:type="dxa" w:w="6803"/>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Lựa chọn hợp lý (GPP)</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DuoStim</w:t>
            </w:r>
          </w:p>
        </w:tc>
        <w:tc>
          <w:tcPr>
            <w:tcW w:type="dxa" w:w="6803"/>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Có thể xét (Strong cho oocyte accumulation)</w:t>
            </w:r>
          </w:p>
        </w:tc>
      </w:tr>
      <w:tr>
        <w:tc>
          <w:tcPr>
            <w:tcW w:type="dxa" w:w="226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Realistic LBR</w:t>
            </w:r>
          </w:p>
        </w:tc>
        <w:tc>
          <w:tcPr>
            <w:tcW w:type="dxa" w:w="6803"/>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&lt; 5% per cycle với autologous oocyte sau 42</w:t>
            </w:r>
          </w:p>
        </w:tc>
      </w:tr>
      <w:tr>
        <w:tc>
          <w:tcPr>
            <w:tcW w:type="dxa" w:w="226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Donor oocyte</w:t>
            </w:r>
          </w:p>
        </w:tc>
        <w:tc>
          <w:tcPr>
            <w:tcW w:type="dxa" w:w="6803"/>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 để cân nhắc — đặc biệt ≥ 43–44</w:t>
            </w:r>
          </w:p>
        </w:tc>
      </w:tr>
    </w:tbl>
    <w:p>
      <w:pPr>
        <w:spacing w:before="200" w:after="120"/>
      </w:pPr>
      <w:r>
        <w:rPr>
          <w:b/>
          <w:color w:val="2E5C9B"/>
          <w:sz w:val="26"/>
        </w:rPr>
        <w:t>3.5. FERTILITY PRESERVATION (đặc biệt ung thư nhạy estrogen — BC, hematologic)</w:t>
      </w:r>
    </w:p>
    <w:p>
      <w:pPr>
        <w:spacing w:after="120" w:line="300" w:lineRule="auto"/>
      </w:pPr>
      <w:r>
        <w:rPr>
          <w:b w:val="0"/>
          <w:i/>
          <w:sz w:val="22"/>
        </w:rPr>
        <w:t>Mục tiêu: bắt đầu NGAY bất kể pha chu kỳ, giữ E2 thấp.</w:t>
      </w:r>
    </w:p>
    <w:tbl>
      <w:tblPr>
        <w:tblW w:type="auto" w:w="0"/>
        <w:jc w:val="center"/>
        <w:tblLayout w:type="fixed"/>
        <w:tblLook w:firstColumn="1" w:firstRow="1" w:lastColumn="0" w:lastRow="0" w:noHBand="0" w:noVBand="1" w:val="04A0"/>
      </w:tblPr>
      <w:tblGrid>
        <w:gridCol w:w="3324"/>
        <w:gridCol w:w="3324"/>
        <w:gridCol w:w="3324"/>
      </w:tblGrid>
      <w:tr>
        <w:tc>
          <w:tcPr>
            <w:tcW w:type="dxa" w:w="2551"/>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Thành phần</w:t>
            </w:r>
          </w:p>
        </w:tc>
        <w:tc>
          <w:tcPr>
            <w:tcW w:type="dxa" w:w="4252"/>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Khuyến cáo ESHRE 2025</w:t>
            </w:r>
          </w:p>
        </w:tc>
        <w:tc>
          <w:tcPr>
            <w:tcW w:type="dxa" w:w="2551"/>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Mức khuyến cáo</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Protocol</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Antagonist</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Random start (bất kể pha nào)</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BẮT BUỘC</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 ⊕◯◯◯ (UPDATED 2025)</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Luteal start (nếu KHÔNG có natural conception)</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OK</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Conditional ⊕◯◯◯ (UPDATED 2025)</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DuoStim</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Cân nhắc nếu cần gấp</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 ⊕⊕◯◯</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Letrozole / tamoxifen add-on (chỉ ER+ cancer)</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CÓ THỂ cân nhắc</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GPP</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Trigger</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GnRH agonist (ưu tiên để giảm E2 và OHSS)</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GPP (NEW 2025)</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Freeze-all</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MẶC ĐỊNH (không fresh transfer)</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GPP</w:t>
            </w:r>
          </w:p>
        </w:tc>
      </w:tr>
    </w:tbl>
    <w:p>
      <w:pPr>
        <w:spacing w:after="120" w:line="300" w:lineRule="auto"/>
      </w:pPr>
      <w:r>
        <w:rPr>
          <w:b/>
          <w:i w:val="0"/>
          <w:sz w:val="22"/>
        </w:rPr>
        <w:t>Lý do sinh học:</w:t>
      </w:r>
    </w:p>
    <w:p>
      <w:pPr>
        <w:spacing w:after="120" w:line="300" w:lineRule="auto"/>
      </w:pPr>
      <w:r>
        <w:rPr>
          <w:b w:val="0"/>
          <w:i w:val="0"/>
          <w:sz w:val="22"/>
        </w:rPr>
        <w:t>Bệnh nhân ung thư KHÔNG có thời gian chờ follicular phase. Random-start tận dụng nang đợt 2 (luteal phase) — số lượng nang thường tương đương follicular start. Letrozole ức chế aromatase → E2 thấp → không kích thích ER+ tumor. GnRH trigger → giảm hCG exposure thêm.</w:t>
      </w:r>
    </w:p>
    <w:p>
      <w:pPr>
        <w:spacing w:before="200" w:after="120"/>
      </w:pPr>
      <w:r>
        <w:rPr>
          <w:b/>
          <w:color w:val="2E5C9B"/>
          <w:sz w:val="26"/>
        </w:rPr>
        <w:t>3.6. OOCYTE DONOR</w:t>
      </w:r>
    </w:p>
    <w:p>
      <w:pPr>
        <w:spacing w:after="120" w:line="300" w:lineRule="auto"/>
      </w:pPr>
      <w:r>
        <w:rPr>
          <w:b w:val="0"/>
          <w:i/>
          <w:sz w:val="22"/>
        </w:rPr>
        <w:t>Mục tiêu: tối đa noãn chất lượng cao cho recipient, bảo vệ donor khỏi OHSS.</w:t>
      </w:r>
    </w:p>
    <w:tbl>
      <w:tblPr>
        <w:tblW w:type="auto" w:w="0"/>
        <w:jc w:val="center"/>
        <w:tblLayout w:type="fixed"/>
        <w:tblLook w:firstColumn="1" w:firstRow="1" w:lastColumn="0" w:lastRow="0" w:noHBand="0" w:noVBand="1" w:val="04A0"/>
      </w:tblPr>
      <w:tblGrid>
        <w:gridCol w:w="3324"/>
        <w:gridCol w:w="3324"/>
        <w:gridCol w:w="3324"/>
      </w:tblGrid>
      <w:tr>
        <w:tc>
          <w:tcPr>
            <w:tcW w:type="dxa" w:w="2551"/>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Thành phần</w:t>
            </w:r>
          </w:p>
        </w:tc>
        <w:tc>
          <w:tcPr>
            <w:tcW w:type="dxa" w:w="4252"/>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Khuyến cáo ESHRE 2025</w:t>
            </w:r>
          </w:p>
        </w:tc>
        <w:tc>
          <w:tcPr>
            <w:tcW w:type="dxa" w:w="2551"/>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Mức khuyến cáo</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Protocol</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Antagonist HOẶC progestin protocol (equally)</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Conditional ⊕⊕◯◯ (NEW 2025)</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GnRH agonist protocol</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NOT recommended</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GPP (NEW 2025)</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Trigger</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GnRH agonist routine (bắt buộc cho OHSS prevention)</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Strong ⊕⊕◯◯ (NEW 2025)</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hCG trigger</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NOT routinely</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Strong ⊕⊕◯◯ (NEW 2025)</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Contraception</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Bất kỳ loại nào (hormonal, non-hormonal, IUD)</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GPP</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Contraception during stimulation</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Progestin hoặc IUD</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GPP</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Starting dose</w:t>
            </w:r>
          </w:p>
        </w:tc>
        <w:tc>
          <w:tcPr>
            <w:tcW w:type="dxa" w:w="4252"/>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Individualized theo ovarian reserve</w:t>
            </w:r>
          </w:p>
        </w:tc>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GPP</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FSH type</w:t>
            </w:r>
          </w:p>
        </w:tc>
        <w:tc>
          <w:tcPr>
            <w:tcW w:type="dxa" w:w="4252"/>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r-hFSH / purified FSH / long-acting / hMG — equally</w:t>
            </w:r>
          </w:p>
        </w:tc>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Conditional ⊕◯◯◯</w:t>
            </w:r>
          </w:p>
        </w:tc>
      </w:tr>
    </w:tbl>
    <w:p>
      <w:pPr>
        <w:spacing w:after="120" w:line="300" w:lineRule="auto"/>
      </w:pPr>
      <w:r>
        <w:rPr>
          <w:b/>
          <w:i w:val="0"/>
          <w:sz w:val="22"/>
        </w:rPr>
        <w:t>Lý do sinh học:</w:t>
      </w:r>
    </w:p>
    <w:p>
      <w:pPr>
        <w:spacing w:after="120" w:line="300" w:lineRule="auto"/>
      </w:pPr>
      <w:r>
        <w:rPr>
          <w:b w:val="0"/>
          <w:i w:val="0"/>
          <w:sz w:val="22"/>
        </w:rPr>
        <w:t>Donor thường là high responder healthy young women → OHSS risk cao nhất. GnRH trigger Strong rec NEW 2025 vì an toàn tuyệt đối + chất lượng noãn tương đương hCG. Progestin protocol (PPOS) cho phép freeze-all tự nhiên, linh hoạt hơn antagonist.</w:t>
      </w:r>
    </w:p>
    <w:p>
      <w:pPr>
        <w:spacing w:before="280" w:after="160"/>
      </w:pPr>
      <w:r>
        <w:rPr>
          <w:b/>
          <w:color w:val="1F3864"/>
          <w:sz w:val="32"/>
        </w:rPr>
        <w:t>4. Quick decision tree (dùng nhanh trên lâm sàng)</w:t>
      </w:r>
    </w:p>
    <w:p>
      <w:pPr>
        <w:spacing w:after="20"/>
      </w:pPr>
      <w:r>
        <w:rPr>
          <w:b/>
          <w:color w:val="1F3864"/>
          <w:sz w:val="21"/>
        </w:rPr>
        <w:t>Bệnh nhân đến IVF</w:t>
      </w:r>
    </w:p>
    <w:p>
      <w:pPr>
        <w:spacing w:after="20"/>
      </w:pPr>
      <w:r>
        <w:rPr>
          <w:b w:val="0"/>
          <w:sz w:val="21"/>
        </w:rPr>
        <w:t>Xét AMH + AFC + tuổi → phân nhóm</w:t>
      </w:r>
    </w:p>
    <w:p>
      <w:pPr>
        <w:spacing w:after="20"/>
      </w:pPr>
      <w:r>
        <w:rPr>
          <w:b w:val="0"/>
          <w:sz w:val="21"/>
        </w:rPr>
        <w:t>HIGH responder (AMH &gt; 3,5 / AFC &gt; 20)</w:t>
      </w:r>
    </w:p>
    <w:p>
      <w:pPr>
        <w:spacing w:after="20"/>
        <w:ind w:left="624"/>
      </w:pPr>
      <w:r>
        <w:rPr>
          <w:b w:val="0"/>
          <w:sz w:val="21"/>
        </w:rPr>
        <w:t xml:space="preserve">   Antagonist + FSH 100-&lt;150 IU</w:t>
      </w:r>
    </w:p>
    <w:p>
      <w:pPr>
        <w:spacing w:after="20"/>
        <w:ind w:left="624"/>
      </w:pPr>
      <w:r>
        <w:rPr>
          <w:b w:val="0"/>
          <w:sz w:val="21"/>
        </w:rPr>
        <w:t xml:space="preserve">   GnRH trigger (freeze-all) hoặc dual trigger (fresh)</w:t>
      </w:r>
    </w:p>
    <w:p>
      <w:pPr>
        <w:spacing w:after="20"/>
        <w:ind w:left="624"/>
      </w:pPr>
      <w:r>
        <w:rPr>
          <w:b w:val="0"/>
          <w:sz w:val="21"/>
        </w:rPr>
        <w:t xml:space="preserve">   Trigger GnRH + freeze-all nếu &gt; 18 noãn / E2 &gt; 3000</w:t>
      </w:r>
    </w:p>
    <w:p>
      <w:pPr>
        <w:spacing w:after="20"/>
      </w:pPr>
      <w:r>
        <w:rPr>
          <w:b w:val="0"/>
          <w:sz w:val="21"/>
        </w:rPr>
        <w:t>NORMAL responder (AMH 1,0-3,5 / AFC 8-20)</w:t>
      </w:r>
    </w:p>
    <w:p>
      <w:pPr>
        <w:spacing w:after="20"/>
        <w:ind w:left="624"/>
      </w:pPr>
      <w:r>
        <w:rPr>
          <w:b w:val="0"/>
          <w:sz w:val="21"/>
        </w:rPr>
        <w:t xml:space="preserve">   Antagonist + FSH 150-225 IU</w:t>
      </w:r>
    </w:p>
    <w:p>
      <w:pPr>
        <w:spacing w:after="20"/>
        <w:ind w:left="624"/>
      </w:pPr>
      <w:r>
        <w:rPr>
          <w:b w:val="0"/>
          <w:sz w:val="21"/>
        </w:rPr>
        <w:t xml:space="preserve">   hCG trigger 5.000-10.000 IU</w:t>
      </w:r>
    </w:p>
    <w:p>
      <w:pPr>
        <w:spacing w:after="20"/>
        <w:ind w:left="624"/>
      </w:pPr>
      <w:r>
        <w:rPr>
          <w:b w:val="0"/>
          <w:sz w:val="21"/>
        </w:rPr>
        <w:t xml:space="preserve">   Fresh ET hoặc freeze-all tùy E2/endometrium</w:t>
      </w:r>
    </w:p>
    <w:p>
      <w:pPr>
        <w:spacing w:after="20"/>
      </w:pPr>
      <w:r>
        <w:rPr>
          <w:b w:val="0"/>
          <w:sz w:val="21"/>
        </w:rPr>
        <w:t>LOW responder (AMH &lt; 1,0 / AFC &lt; 5-7)</w:t>
      </w:r>
    </w:p>
    <w:p>
      <w:pPr>
        <w:spacing w:after="20"/>
        <w:ind w:left="624"/>
      </w:pPr>
      <w:r>
        <w:rPr>
          <w:b w:val="0"/>
          <w:sz w:val="21"/>
        </w:rPr>
        <w:t xml:space="preserve">   POSEIDON 1-2 (reserve OK)</w:t>
      </w:r>
    </w:p>
    <w:p>
      <w:pPr>
        <w:spacing w:after="20"/>
        <w:ind w:left="964"/>
      </w:pPr>
      <w:r>
        <w:rPr>
          <w:b w:val="0"/>
          <w:sz w:val="21"/>
        </w:rPr>
        <w:t xml:space="preserve">      Antagonist 225-300 IU + r-hLH</w:t>
      </w:r>
    </w:p>
    <w:p>
      <w:pPr>
        <w:spacing w:after="20"/>
        <w:ind w:left="964"/>
      </w:pPr>
      <w:r>
        <w:rPr>
          <w:b w:val="0"/>
          <w:sz w:val="21"/>
        </w:rPr>
        <w:t xml:space="preserve">      CC ± gonadotropin là alternative</w:t>
      </w:r>
    </w:p>
    <w:p>
      <w:pPr>
        <w:spacing w:after="20"/>
        <w:ind w:left="624"/>
      </w:pPr>
      <w:r>
        <w:rPr>
          <w:b w:val="0"/>
          <w:sz w:val="21"/>
        </w:rPr>
        <w:t xml:space="preserve">   POSEIDON 3-4 / very low reserve (AMH &lt; 0,5)</w:t>
      </w:r>
    </w:p>
    <w:p>
      <w:pPr>
        <w:spacing w:after="20"/>
        <w:ind w:left="964"/>
      </w:pPr>
      <w:r>
        <w:rPr>
          <w:b w:val="0"/>
          <w:sz w:val="21"/>
        </w:rPr>
        <w:t xml:space="preserve">      MNC hoặc DuoStim</w:t>
      </w:r>
    </w:p>
    <w:p>
      <w:pPr>
        <w:spacing w:after="20"/>
        <w:ind w:left="964"/>
      </w:pPr>
      <w:r>
        <w:rPr>
          <w:b w:val="0"/>
          <w:sz w:val="21"/>
        </w:rPr>
        <w:t xml:space="preserve">      Anticipate low yield</w:t>
      </w:r>
    </w:p>
    <w:p>
      <w:pPr>
        <w:spacing w:after="20"/>
        <w:ind w:left="964"/>
      </w:pPr>
      <w:r>
        <w:rPr>
          <w:b w:val="0"/>
          <w:sz w:val="21"/>
        </w:rPr>
        <w:t xml:space="preserve">      Tư vấn: donor oocyte / realistic prognosis</w:t>
      </w:r>
    </w:p>
    <w:p>
      <w:pPr>
        <w:spacing w:after="20"/>
        <w:ind w:left="624"/>
      </w:pPr>
      <w:r>
        <w:rPr>
          <w:b w:val="0"/>
          <w:sz w:val="21"/>
        </w:rPr>
        <w:t xml:space="preserve">   ≥ 42 tuổi</w:t>
      </w:r>
    </w:p>
    <w:p>
      <w:pPr>
        <w:spacing w:after="20"/>
        <w:ind w:left="964"/>
      </w:pPr>
      <w:r>
        <w:rPr>
          <w:b w:val="0"/>
          <w:sz w:val="21"/>
        </w:rPr>
        <w:t xml:space="preserve">      Donor oocyte FIRST-LINE counseling</w:t>
      </w:r>
    </w:p>
    <w:p>
      <w:pPr>
        <w:spacing w:after="20"/>
      </w:pPr>
      <w:r>
        <w:rPr>
          <w:b w:val="0"/>
          <w:sz w:val="21"/>
        </w:rPr>
        <w:t>FERTILITY PRESERVATION (ung thư)</w:t>
      </w:r>
    </w:p>
    <w:p>
      <w:pPr>
        <w:spacing w:after="20"/>
        <w:ind w:left="624"/>
      </w:pPr>
      <w:r>
        <w:rPr>
          <w:b w:val="0"/>
          <w:sz w:val="21"/>
        </w:rPr>
        <w:t xml:space="preserve">   Random-start antagonist + letrozole (ER+)</w:t>
      </w:r>
    </w:p>
    <w:p>
      <w:pPr>
        <w:spacing w:after="20"/>
        <w:ind w:left="624"/>
      </w:pPr>
      <w:r>
        <w:rPr>
          <w:b w:val="0"/>
          <w:sz w:val="21"/>
        </w:rPr>
        <w:t xml:space="preserve">   GnRH trigger</w:t>
      </w:r>
    </w:p>
    <w:p>
      <w:pPr>
        <w:spacing w:after="20"/>
        <w:ind w:left="624"/>
      </w:pPr>
      <w:r>
        <w:rPr>
          <w:b w:val="0"/>
          <w:sz w:val="21"/>
        </w:rPr>
        <w:t xml:space="preserve">   Freeze-all toàn bộ</w:t>
      </w:r>
    </w:p>
    <w:p>
      <w:pPr>
        <w:spacing w:after="20"/>
      </w:pPr>
      <w:r>
        <w:rPr>
          <w:b w:val="0"/>
          <w:sz w:val="21"/>
        </w:rPr>
        <w:t>OOCYTE DONOR</w:t>
      </w:r>
    </w:p>
    <w:p>
      <w:pPr>
        <w:spacing w:after="20"/>
        <w:ind w:left="624"/>
      </w:pPr>
      <w:r>
        <w:rPr>
          <w:b w:val="0"/>
          <w:sz w:val="21"/>
        </w:rPr>
        <w:t xml:space="preserve">   Antagonist OR PPOS</w:t>
      </w:r>
    </w:p>
    <w:p>
      <w:pPr>
        <w:spacing w:after="20"/>
        <w:ind w:left="624"/>
      </w:pPr>
      <w:r>
        <w:rPr>
          <w:b w:val="0"/>
          <w:sz w:val="21"/>
        </w:rPr>
        <w:t xml:space="preserve">   GnRH trigger (Strong NEW 2025)</w:t>
      </w:r>
    </w:p>
    <w:p>
      <w:pPr>
        <w:spacing w:after="20"/>
        <w:ind w:left="624"/>
      </w:pPr>
      <w:r>
        <w:rPr>
          <w:b w:val="0"/>
          <w:sz w:val="21"/>
        </w:rPr>
        <w:t xml:space="preserve">   Individualized FSH dose</w:t>
      </w:r>
    </w:p>
    <w:p>
      <w:pPr>
        <w:spacing w:before="280" w:after="160"/>
      </w:pPr>
      <w:r>
        <w:rPr>
          <w:b/>
          <w:color w:val="1F3864"/>
          <w:sz w:val="32"/>
        </w:rPr>
        <w:t>5. Cơ chế sinh lý tóm tắt — tại sao mỗi phác đồ khác nhau</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551"/>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Bước</w:t>
            </w:r>
          </w:p>
        </w:tc>
        <w:tc>
          <w:tcPr>
            <w:tcW w:type="dxa" w:w="2154"/>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High</w:t>
            </w:r>
          </w:p>
        </w:tc>
        <w:tc>
          <w:tcPr>
            <w:tcW w:type="dxa" w:w="2154"/>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Normal</w:t>
            </w:r>
          </w:p>
        </w:tc>
        <w:tc>
          <w:tcPr>
            <w:tcW w:type="dxa" w:w="2494"/>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Low</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FSH threshold cần đạt</w:t>
            </w:r>
          </w:p>
        </w:tc>
        <w:tc>
          <w:tcPr>
            <w:tcW w:type="dxa" w:w="215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Thấp (nang nhạy)</w:t>
            </w:r>
          </w:p>
        </w:tc>
        <w:tc>
          <w:tcPr>
            <w:tcW w:type="dxa" w:w="215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Trung bình</w:t>
            </w:r>
          </w:p>
        </w:tc>
        <w:tc>
          <w:tcPr>
            <w:tcW w:type="dxa" w:w="249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Cao (nang "cứng đầu")</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Số nang cận trội</w:t>
            </w:r>
          </w:p>
        </w:tc>
        <w:tc>
          <w:tcPr>
            <w:tcW w:type="dxa" w:w="215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Nhiều (15–30+)</w:t>
            </w:r>
          </w:p>
        </w:tc>
        <w:tc>
          <w:tcPr>
            <w:tcW w:type="dxa" w:w="215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Vừa (8–15)</w:t>
            </w:r>
          </w:p>
        </w:tc>
        <w:tc>
          <w:tcPr>
            <w:tcW w:type="dxa" w:w="249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Ít (1–5)</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E2 đỉnh điển hình</w:t>
            </w:r>
          </w:p>
        </w:tc>
        <w:tc>
          <w:tcPr>
            <w:tcW w:type="dxa" w:w="215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&gt; 3.000 pg/mL</w:t>
            </w:r>
          </w:p>
        </w:tc>
        <w:tc>
          <w:tcPr>
            <w:tcW w:type="dxa" w:w="215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1.500–3.000</w:t>
            </w:r>
          </w:p>
        </w:tc>
        <w:tc>
          <w:tcPr>
            <w:tcW w:type="dxa" w:w="249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&lt; 1.000</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OHSS risk</w:t>
            </w:r>
          </w:p>
        </w:tc>
        <w:tc>
          <w:tcPr>
            <w:tcW w:type="dxa" w:w="215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Cao</w:t>
            </w:r>
          </w:p>
        </w:tc>
        <w:tc>
          <w:tcPr>
            <w:tcW w:type="dxa" w:w="215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Thấp</w:t>
            </w:r>
          </w:p>
        </w:tc>
        <w:tc>
          <w:tcPr>
            <w:tcW w:type="dxa" w:w="249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Gần như 0</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Starting dose hợp lý</w:t>
            </w:r>
          </w:p>
        </w:tc>
        <w:tc>
          <w:tcPr>
            <w:tcW w:type="dxa" w:w="215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100–150 IU</w:t>
            </w:r>
          </w:p>
        </w:tc>
        <w:tc>
          <w:tcPr>
            <w:tcW w:type="dxa" w:w="215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150–225 IU</w:t>
            </w:r>
          </w:p>
        </w:tc>
        <w:tc>
          <w:tcPr>
            <w:tcW w:type="dxa" w:w="249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225–300 IU (KHÔNG quá)</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Trigger ưu tiên</w:t>
            </w:r>
          </w:p>
        </w:tc>
        <w:tc>
          <w:tcPr>
            <w:tcW w:type="dxa" w:w="215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GnRH ± dual</w:t>
            </w:r>
          </w:p>
        </w:tc>
        <w:tc>
          <w:tcPr>
            <w:tcW w:type="dxa" w:w="215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hCG standard</w:t>
            </w:r>
          </w:p>
        </w:tc>
        <w:tc>
          <w:tcPr>
            <w:tcW w:type="dxa" w:w="249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hCG standard</w:t>
            </w:r>
          </w:p>
        </w:tc>
      </w:tr>
      <w:tr>
        <w:tc>
          <w:tcPr>
            <w:tcW w:type="dxa" w:w="2551"/>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Freeze-all?</w:t>
            </w:r>
          </w:p>
        </w:tc>
        <w:tc>
          <w:tcPr>
            <w:tcW w:type="dxa" w:w="215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Có nếu &gt; 18 noãn</w:t>
            </w:r>
          </w:p>
        </w:tc>
        <w:tc>
          <w:tcPr>
            <w:tcW w:type="dxa" w:w="215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Tùy E2/endometrium</w:t>
            </w:r>
          </w:p>
        </w:tc>
        <w:tc>
          <w:tcPr>
            <w:tcW w:type="dxa" w:w="249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Không cần (ít noãn)</w:t>
            </w:r>
          </w:p>
        </w:tc>
      </w:tr>
      <w:tr>
        <w:tc>
          <w:tcPr>
            <w:tcW w:type="dxa" w:w="2551"/>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Mid-cycle adjustment?</w:t>
            </w:r>
          </w:p>
        </w:tc>
        <w:tc>
          <w:tcPr>
            <w:tcW w:type="dxa" w:w="215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KHÔNG</w:t>
            </w:r>
          </w:p>
        </w:tc>
        <w:tc>
          <w:tcPr>
            <w:tcW w:type="dxa" w:w="215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KHÔNG</w:t>
            </w:r>
          </w:p>
        </w:tc>
        <w:tc>
          <w:tcPr>
            <w:tcW w:type="dxa" w:w="249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KHÔNG (start đúng từ đầu)</w:t>
            </w:r>
          </w:p>
        </w:tc>
      </w:tr>
    </w:tbl>
    <w:p>
      <w:pPr>
        <w:spacing w:before="280" w:after="160"/>
      </w:pPr>
      <w:r>
        <w:rPr>
          <w:b/>
          <w:color w:val="1F3864"/>
          <w:sz w:val="32"/>
        </w:rPr>
        <w:t>6. TL;DR cho clinical practice</w:t>
      </w:r>
    </w:p>
    <w:p>
      <w:pPr>
        <w:spacing w:after="120" w:line="300" w:lineRule="auto"/>
      </w:pPr>
      <w:r>
        <w:rPr>
          <w:b/>
          <w:i w:val="0"/>
          <w:sz w:val="22"/>
        </w:rPr>
        <w:t>Quy tắc vàng theo ESHRE 2025 (PMID 41732035):</w:t>
      </w:r>
    </w:p>
    <w:p>
      <w:pPr>
        <w:pStyle w:val="ListBullet"/>
        <w:spacing w:after="40"/>
      </w:pPr>
      <w:r/>
      <w:r>
        <w:rPr>
          <w:b/>
          <w:sz w:val="22"/>
        </w:rPr>
        <w:t xml:space="preserve">1. </w:t>
      </w:r>
      <w:r>
        <w:rPr>
          <w:b/>
          <w:sz w:val="22"/>
        </w:rPr>
        <w:t>Phân nhóm trước bằng AMH + AFC</w:t>
      </w:r>
      <w:r>
        <w:rPr>
          <w:b w:val="0"/>
          <w:sz w:val="22"/>
        </w:rPr>
        <w:t xml:space="preserve"> (Strong rec) — KHÔNG dùng basal FSH/E2/inhibin B</w:t>
      </w:r>
    </w:p>
    <w:p>
      <w:pPr>
        <w:pStyle w:val="ListBullet"/>
        <w:spacing w:after="40"/>
      </w:pPr>
      <w:r/>
      <w:r>
        <w:rPr>
          <w:b/>
          <w:sz w:val="22"/>
        </w:rPr>
        <w:t xml:space="preserve">2. </w:t>
      </w:r>
      <w:r>
        <w:rPr>
          <w:b/>
          <w:sz w:val="22"/>
        </w:rPr>
        <w:t>Chọn protocol = Antagonist first-line</w:t>
      </w:r>
      <w:r>
        <w:rPr>
          <w:b w:val="0"/>
          <w:sz w:val="22"/>
        </w:rPr>
        <w:t xml:space="preserve"> cho mọi nhóm (Strong rec)</w:t>
      </w:r>
    </w:p>
    <w:p>
      <w:pPr>
        <w:pStyle w:val="ListBullet"/>
        <w:spacing w:after="40"/>
      </w:pPr>
      <w:r/>
      <w:r>
        <w:rPr>
          <w:b/>
          <w:sz w:val="22"/>
        </w:rPr>
        <w:t xml:space="preserve">3. </w:t>
      </w:r>
      <w:r>
        <w:rPr>
          <w:b/>
          <w:sz w:val="22"/>
        </w:rPr>
        <w:t>High responder:</w:t>
      </w:r>
      <w:r>
        <w:rPr>
          <w:b w:val="0"/>
          <w:sz w:val="22"/>
        </w:rPr>
        <w:t xml:space="preserve"> dose thấp 100-&lt;150 IU + GnRH trigger (Strong NEW 2025 cho donor → tương đương high responder)</w:t>
      </w:r>
    </w:p>
    <w:p>
      <w:pPr>
        <w:pStyle w:val="ListBullet"/>
        <w:spacing w:after="40"/>
      </w:pPr>
      <w:r/>
      <w:r>
        <w:rPr>
          <w:b/>
          <w:sz w:val="22"/>
        </w:rPr>
        <w:t xml:space="preserve">4. </w:t>
      </w:r>
      <w:r>
        <w:rPr>
          <w:b/>
          <w:sz w:val="22"/>
        </w:rPr>
        <w:t>Normal responder:</w:t>
      </w:r>
      <w:r>
        <w:rPr>
          <w:b w:val="0"/>
          <w:sz w:val="22"/>
        </w:rPr>
        <w:t xml:space="preserve"> dose chuẩn 150–225 IU + hCG trigger</w:t>
      </w:r>
    </w:p>
    <w:p>
      <w:pPr>
        <w:pStyle w:val="ListBullet"/>
        <w:spacing w:after="40"/>
      </w:pPr>
      <w:r/>
      <w:r>
        <w:rPr>
          <w:b/>
          <w:sz w:val="22"/>
        </w:rPr>
        <w:t xml:space="preserve">5. </w:t>
      </w:r>
      <w:r>
        <w:rPr>
          <w:b/>
          <w:sz w:val="22"/>
        </w:rPr>
        <w:t>Low responder:</w:t>
      </w:r>
      <w:r>
        <w:rPr>
          <w:b w:val="0"/>
          <w:sz w:val="22"/>
        </w:rPr>
        <w:t xml:space="preserve"> KHÔNG &gt; 300 IU; MNC cho very low reserve (GPP); DuoStim cho accumulation (Strong NEW)</w:t>
      </w:r>
    </w:p>
    <w:p>
      <w:pPr>
        <w:pStyle w:val="ListBullet"/>
        <w:spacing w:after="40"/>
      </w:pPr>
      <w:r/>
      <w:r>
        <w:rPr>
          <w:b/>
          <w:sz w:val="22"/>
        </w:rPr>
        <w:t xml:space="preserve">6. </w:t>
      </w:r>
      <w:r>
        <w:rPr>
          <w:b/>
          <w:sz w:val="22"/>
        </w:rPr>
        <w:t>Adjuncts (DHEA, GH, testosterone, myo-inositol, aspirin, sildenafil):</w:t>
      </w:r>
      <w:r>
        <w:rPr>
          <w:b w:val="0"/>
          <w:sz w:val="22"/>
        </w:rPr>
        <w:t xml:space="preserve"> KHÔNG khuyến cáo thường quy — evidence quá yếu</w:t>
      </w:r>
    </w:p>
    <w:p>
      <w:pPr>
        <w:pStyle w:val="ListBullet"/>
        <w:spacing w:after="40"/>
      </w:pPr>
      <w:r/>
      <w:r>
        <w:rPr>
          <w:b/>
          <w:sz w:val="22"/>
        </w:rPr>
        <w:t xml:space="preserve">7. </w:t>
      </w:r>
      <w:r>
        <w:rPr>
          <w:b/>
          <w:sz w:val="22"/>
        </w:rPr>
        <w:t>Bệnh nhân ung thư:</w:t>
      </w:r>
      <w:r>
        <w:rPr>
          <w:b w:val="0"/>
          <w:sz w:val="22"/>
        </w:rPr>
        <w:t xml:space="preserve"> random-start antagonist + letrozole (ER+) + GnRH trigger + freeze-all</w:t>
      </w:r>
    </w:p>
    <w:p>
      <w:pPr>
        <w:pStyle w:val="ListBullet"/>
        <w:spacing w:after="40"/>
      </w:pPr>
      <w:r/>
      <w:r>
        <w:rPr>
          <w:b/>
          <w:sz w:val="22"/>
        </w:rPr>
        <w:t xml:space="preserve">8. </w:t>
      </w:r>
      <w:r>
        <w:rPr>
          <w:b/>
          <w:sz w:val="22"/>
        </w:rPr>
        <w:t>Donor:</w:t>
      </w:r>
      <w:r>
        <w:rPr>
          <w:b w:val="0"/>
          <w:sz w:val="22"/>
        </w:rPr>
        <w:t xml:space="preserve"> GnRH trigger thường quy (Strong NEW 2025)</w:t>
      </w:r>
    </w:p>
    <w:p>
      <w:pPr>
        <w:spacing w:after="120" w:line="300" w:lineRule="auto"/>
      </w:pPr>
      <w:r>
        <w:rPr>
          <w:b/>
          <w:i/>
          <w:sz w:val="22"/>
        </w:rPr>
        <w:t>Mức evidence chung: 0/190 recs có high-quality evidence → hầu hết ⊕◯◯◯ (very low). Cá thể hoá nhiều hơn là áp guideline máy móc.</w:t>
      </w:r>
    </w:p>
    <w:p>
      <w:pPr>
        <w:spacing w:before="280" w:after="160"/>
      </w:pPr>
      <w:r>
        <w:rPr>
          <w:b/>
          <w:color w:val="1F3864"/>
          <w:sz w:val="32"/>
        </w:rPr>
        <w:t>7. Nguồn chính</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118"/>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Citation</w:t>
            </w:r>
          </w:p>
        </w:tc>
        <w:tc>
          <w:tcPr>
            <w:tcW w:type="dxa" w:w="1020"/>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PMID</w:t>
            </w:r>
          </w:p>
        </w:tc>
        <w:tc>
          <w:tcPr>
            <w:tcW w:type="dxa" w:w="1984"/>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Tier / Loại</w:t>
            </w:r>
          </w:p>
        </w:tc>
        <w:tc>
          <w:tcPr>
            <w:tcW w:type="dxa" w:w="3118"/>
            <w:shd w:val="clear" w:color="auto" w:fill="1F3864"/>
            <w:tcBorders>
              <w:top w:val="single" w:sz="6" w:color="888888"/>
              <w:left w:val="single" w:sz="6" w:color="888888"/>
              <w:bottom w:val="single" w:sz="6" w:color="888888"/>
              <w:right w:val="single" w:sz="6" w:color="888888"/>
            </w:tcBorders>
            <w:vAlign w:val="center"/>
          </w:tcPr>
          <w:p>
            <w:pPr>
              <w:jc w:val="left"/>
            </w:pPr>
            <w:r/>
            <w:r>
              <w:rPr>
                <w:b/>
                <w:color w:val="FFFFFF"/>
                <w:sz w:val="21"/>
              </w:rPr>
              <w:t>Đóng góp chính</w:t>
            </w:r>
          </w:p>
        </w:tc>
      </w:tr>
      <w:tr>
        <w:tc>
          <w:tcPr>
            <w:tcW w:type="dxa" w:w="311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ESHRE Guideline Group on Ovarian Stimulation. *Hum Reprod* 2026;41(4):498-514</w:t>
            </w:r>
          </w:p>
        </w:tc>
        <w:tc>
          <w:tcPr>
            <w:tcW w:type="dxa" w:w="102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41732035</w:t>
            </w:r>
          </w:p>
        </w:tc>
        <w:tc>
          <w:tcPr>
            <w:tcW w:type="dxa" w:w="198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Tier 0 — Guideline</w:t>
            </w:r>
          </w:p>
        </w:tc>
        <w:tc>
          <w:tcPr>
            <w:tcW w:type="dxa" w:w="311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Framework phân nhóm + 121 recs</w:t>
            </w:r>
          </w:p>
        </w:tc>
      </w:tr>
      <w:tr>
        <w:tc>
          <w:tcPr>
            <w:tcW w:type="dxa" w:w="311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Ferraretti 2011 — Bologna criteria (poor responder)</w:t>
            </w:r>
          </w:p>
        </w:tc>
        <w:tc>
          <w:tcPr>
            <w:tcW w:type="dxa" w:w="102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21813145</w:t>
            </w:r>
          </w:p>
        </w:tc>
        <w:tc>
          <w:tcPr>
            <w:tcW w:type="dxa" w:w="198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Tier 0 — Consensus</w:t>
            </w:r>
          </w:p>
        </w:tc>
        <w:tc>
          <w:tcPr>
            <w:tcW w:type="dxa" w:w="311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Tiêu chuẩn poor responder cổ điển</w:t>
            </w:r>
          </w:p>
        </w:tc>
      </w:tr>
      <w:tr>
        <w:tc>
          <w:tcPr>
            <w:tcW w:type="dxa" w:w="311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Alviggi 2016 — POSEIDON groups</w:t>
            </w:r>
          </w:p>
        </w:tc>
        <w:tc>
          <w:tcPr>
            <w:tcW w:type="dxa" w:w="102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27416005</w:t>
            </w:r>
          </w:p>
        </w:tc>
        <w:tc>
          <w:tcPr>
            <w:tcW w:type="dxa" w:w="198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Tier 1 (Hum Reprod Update IF ~ 12)</w:t>
            </w:r>
          </w:p>
        </w:tc>
        <w:tc>
          <w:tcPr>
            <w:tcW w:type="dxa" w:w="311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4 groups stratification</w:t>
            </w:r>
          </w:p>
        </w:tc>
      </w:tr>
      <w:tr>
        <w:tc>
          <w:tcPr>
            <w:tcW w:type="dxa" w:w="311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Esteves 2019 — POSEIDON review</w:t>
            </w:r>
          </w:p>
        </w:tc>
        <w:tc>
          <w:tcPr>
            <w:tcW w:type="dxa" w:w="102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31725807</w:t>
            </w:r>
          </w:p>
        </w:tc>
        <w:tc>
          <w:tcPr>
            <w:tcW w:type="dxa" w:w="198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Tier 1</w:t>
            </w:r>
          </w:p>
        </w:tc>
        <w:tc>
          <w:tcPr>
            <w:tcW w:type="dxa" w:w="311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POSEIDON review chi tiết</w:t>
            </w:r>
          </w:p>
        </w:tc>
      </w:tr>
      <w:tr>
        <w:tc>
          <w:tcPr>
            <w:tcW w:type="dxa" w:w="311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Rotterdam 2003 — PCOS consensus</w:t>
            </w:r>
          </w:p>
        </w:tc>
        <w:tc>
          <w:tcPr>
            <w:tcW w:type="dxa" w:w="1020"/>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w:t>
            </w:r>
          </w:p>
        </w:tc>
        <w:tc>
          <w:tcPr>
            <w:tcW w:type="dxa" w:w="1984"/>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Tier 0 — Consensus</w:t>
            </w:r>
          </w:p>
        </w:tc>
        <w:tc>
          <w:tcPr>
            <w:tcW w:type="dxa" w:w="3118"/>
            <w:shd w:val="clear" w:color="auto" w:fill="E7EEF7"/>
            <w:tcBorders>
              <w:top w:val="single" w:sz="6" w:color="888888"/>
              <w:left w:val="single" w:sz="6" w:color="888888"/>
              <w:bottom w:val="single" w:sz="6" w:color="888888"/>
              <w:right w:val="single" w:sz="6" w:color="888888"/>
            </w:tcBorders>
            <w:vAlign w:val="center"/>
          </w:tcPr>
          <w:p>
            <w:pPr>
              <w:jc w:val="left"/>
            </w:pPr>
            <w:r/>
            <w:r>
              <w:rPr>
                <w:color w:val="000000"/>
                <w:sz w:val="21"/>
              </w:rPr>
              <w:t>Tiêu chuẩn PCOS</w:t>
            </w:r>
          </w:p>
        </w:tc>
      </w:tr>
      <w:tr>
        <w:tc>
          <w:tcPr>
            <w:tcW w:type="dxa" w:w="311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Lesson: 14_Stimulation_Protocols (2026-06-25)</w:t>
            </w:r>
          </w:p>
        </w:tc>
        <w:tc>
          <w:tcPr>
            <w:tcW w:type="dxa" w:w="1020"/>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w:t>
            </w:r>
          </w:p>
        </w:tc>
        <w:tc>
          <w:tcPr>
            <w:tcW w:type="dxa" w:w="1984"/>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Internal</w:t>
            </w:r>
          </w:p>
        </w:tc>
        <w:tc>
          <w:tcPr>
            <w:tcW w:type="dxa" w:w="3118"/>
            <w:shd w:val="clear" w:color="auto" w:fill="FFFFFF"/>
            <w:tcBorders>
              <w:top w:val="single" w:sz="6" w:color="888888"/>
              <w:left w:val="single" w:sz="6" w:color="888888"/>
              <w:bottom w:val="single" w:sz="6" w:color="888888"/>
              <w:right w:val="single" w:sz="6" w:color="888888"/>
            </w:tcBorders>
            <w:vAlign w:val="center"/>
          </w:tcPr>
          <w:p>
            <w:pPr>
              <w:jc w:val="left"/>
            </w:pPr>
            <w:r/>
            <w:r>
              <w:rPr>
                <w:color w:val="000000"/>
                <w:sz w:val="21"/>
              </w:rPr>
              <w:t>Bài học đầy đủ đã audit citation</w:t>
            </w:r>
          </w:p>
        </w:tc>
      </w:tr>
    </w:tbl>
    <w:p/>
    <w:p>
      <w:pPr>
        <w:jc w:val="center"/>
      </w:pPr>
      <w:r>
        <w:rPr>
          <w:i/>
          <w:color w:val="888888"/>
          <w:sz w:val="18"/>
        </w:rPr>
        <w:t>Soạn theo workflow daily medical lesson. Citation Tier 0 (Guideline) &gt; Tier 1 (Q1 journal). File build ngày 25/06/2026.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