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CÁC BIẾN CHỨNG TRONG HỖ TRỢ SINH SẢN (ART)</w:t>
      </w:r>
    </w:p>
    <w:p>
      <w:r>
        <w:t>Bai hoc y khoa - ART_Complications_2026-06-27</w:t>
      </w:r>
    </w:p>
    <w:p>
      <w:pPr>
        <w:pStyle w:val="Title"/>
      </w:pPr>
      <w:r>
        <w:t>CÁC BIẾN CHỨNG TRONG HỖ TRỢ SINH SẢN (ART)</w:t>
      </w:r>
    </w:p>
    <w:p>
      <w:r>
        <w:rPr>
          <w:b/>
        </w:rPr>
        <w:t>Bài học ngày 2026-06-27 — Hỗ trợ sinh sản (ART)</w:t>
      </w:r>
    </w:p>
    <w:p>
      <w:r>
        <w:rPr>
          <w:b/>
        </w:rPr>
        <w:t>Tác giả:</w:t>
      </w:r>
      <w:r>
        <w:t xml:space="preserve"> MiniMax Agent (Mavis) dưới sự giám sát BS Ngọc Hưng</w:t>
      </w:r>
    </w:p>
    <w:p>
      <w:r>
        <w:rPr>
          <w:b/>
        </w:rPr>
        <w:t>Nguồn:</w:t>
      </w:r>
      <w:r>
        <w:t xml:space="preserve"> 13 citation đã verify abstract qua PubMed E-utilities (Tier 0 guideline + Tier 1/2 Q1/Q2 papers)</w:t>
      </w:r>
    </w:p>
    <w:p/>
    <w:p>
      <w:pPr>
        <w:pStyle w:val="Heading1"/>
      </w:pPr>
      <w:r>
        <w:t>0. TỔNG QUAN — VÌ SAO BÀI NÀY QUAN TRỌNG?</w:t>
      </w:r>
    </w:p>
    <w:p>
      <w:r>
        <w:t xml:space="preserve">Hỗ trợ sinh sản (Assisted Reproductive Technology — ART) đã giúp hàng triệu cặp vợ chồng hiếm muộn có con, nhưng đi kèm với một dải biến chứng rất rộng — từ nhẹ (hội chứng quá kích buồng trứng — OHSS thể nhẹ) đến đe dọa tính mạng (xoắn buồng trứng, huyết khối, đa thai sinh non). Bác sĩ lâm sàng cần biết rõ </w:t>
      </w:r>
      <w:r>
        <w:rPr>
          <w:b/>
        </w:rPr>
        <w:t>tỉ lệ, cơ chế sinh bệnh, cách phòng ngừa và xử trí</w:t>
      </w:r>
      <w:r>
        <w:t xml:space="preserve"> để tư vấn cho bệnh nhân trước ART và xử trí kịp thời khi biến chứng xảy ra.</w:t>
      </w:r>
    </w:p>
    <w:p>
      <w:r>
        <w:t>Ba nhóm biến chứng chính của ART:</w:t>
      </w:r>
    </w:p>
    <w:p>
      <w:pPr>
        <w:pStyle w:val="ListNumber"/>
      </w:pPr>
      <w:r>
        <w:rPr>
          <w:b/>
        </w:rPr>
        <w:t>Biến chứng liên quan kích thích buồng trứng</w:t>
      </w:r>
      <w:r>
        <w:t xml:space="preserve"> — OHSS, xoắn buồng trứng, xuất huyết nang.</w:t>
      </w:r>
    </w:p>
    <w:p>
      <w:pPr>
        <w:pStyle w:val="ListNumber"/>
      </w:pPr>
      <w:r>
        <w:rPr>
          <w:b/>
        </w:rPr>
        <w:t>Biến chứng liên quan thủ thuật</w:t>
      </w:r>
      <w:r>
        <w:t xml:space="preserve"> — chảy máu, nhiễm trùng, thai ngoài tử cung, thai trong tử cung kết hợp ngoài tử cung (heterotopic).</w:t>
      </w:r>
    </w:p>
    <w:p>
      <w:pPr>
        <w:pStyle w:val="ListNumber"/>
      </w:pPr>
      <w:r>
        <w:rPr>
          <w:b/>
        </w:rPr>
        <w:t>Biến chứng sản khoa và chu sinh</w:t>
      </w:r>
      <w:r>
        <w:t xml:space="preserve"> — đa thai (multiple pregnancy), sinh non, nhẹ cân, tiền sản giật, nhau bong non, thai ngoài tử cung, nguy cơ ung thư dài hạn (gồm ung thư buồng trứng, vú, tử cung, ung thư trẻ em ở con).</w:t>
      </w:r>
    </w:p>
    <w:p>
      <w:r>
        <w:rPr>
          <w:b/>
        </w:rPr>
        <w:t>Thông điệp cốt lõi:</w:t>
      </w:r>
      <w:r>
        <w:t xml:space="preserve"> Hầu hết biến chứng ART có thể </w:t>
      </w:r>
      <w:r>
        <w:rPr>
          <w:b/>
        </w:rPr>
        <w:t>phòng ngừa được</w:t>
      </w:r>
      <w:r>
        <w:t xml:space="preserve"> bằng chọn phác đồ phù hợp, theo dõi sát và tuân thủ giới hạn số phôi chuyển.</w:t>
      </w:r>
    </w:p>
    <w:p/>
    <w:p>
      <w:pPr>
        <w:pStyle w:val="Heading1"/>
      </w:pPr>
      <w:r>
        <w:t>1. HỘI CHỨNG QUÁ KÍCH BUỒNG TRỨNG (Ovarian Hyperstimulation Syndrome — OHSS)</w:t>
      </w:r>
    </w:p>
    <w:p>
      <w:pPr>
        <w:pStyle w:val="Heading2"/>
      </w:pPr>
      <w:r>
        <w:t>1.1. Định nghĩa và dịch tễ</w:t>
      </w:r>
    </w:p>
    <w:p>
      <w:r>
        <w:t>OHSS là biến chứng nội khoa nghiêm trọng nhất của kích thích buồng trứng, đặc trưng bởi buồng trứng to, dịch thoát mạch thành khoang thứ ba, cô đặc máu và rối loạn điện giải. Theo guideline ASRM 2016 [ASRM 2016 - OHSS] (PMID 27678032): OHSS là biến chứng "không phổ biến nhưng nghiêm trọng" (uncommon but serious) của ART.</w:t>
      </w:r>
    </w:p>
    <w:p>
      <w:r>
        <w:rPr>
          <w:b/>
        </w:rPr>
        <w:t>Phân loại theo ASRM 2016</w:t>
      </w:r>
      <w:r>
        <w:t xml:space="preserve"> (PMID 27678032):</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Nhẹ (Mild)</w:t>
            </w:r>
          </w:p>
        </w:tc>
        <w:tc>
          <w:tcPr>
            <w:tcW w:type="dxa" w:w="4320"/>
            <w:tcBorders>
              <w:top w:val="single" w:sz="4" w:color="000000"/>
              <w:left w:val="single" w:sz="4" w:color="000000"/>
              <w:bottom w:val="single" w:sz="4" w:color="000000"/>
              <w:right w:val="single" w:sz="4" w:color="000000"/>
            </w:tcBorders>
          </w:tcPr>
          <w:p>
            <w:r/>
            <w:r>
              <w:t xml:space="preserve">Bụng chướng, buồng nôn, buồng trứng &lt; 8 cm, </w:t>
            </w:r>
            <w:r>
              <w:rPr>
                <w:b/>
              </w:rPr>
              <w:t>tự giới hạn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Trung bình (Moderate)</w:t>
            </w:r>
          </w:p>
        </w:tc>
        <w:tc>
          <w:tcPr>
            <w:tcW w:type="dxa" w:w="4320"/>
            <w:tcBorders>
              <w:top w:val="single" w:sz="4" w:color="000000"/>
              <w:left w:val="single" w:sz="4" w:color="000000"/>
              <w:bottom w:val="single" w:sz="4" w:color="000000"/>
              <w:right w:val="single" w:sz="4" w:color="000000"/>
            </w:tcBorders>
          </w:tcPr>
          <w:p>
            <w:r/>
            <w:r>
              <w:t>Buồng trứng 8–12 cm, cổ trướng nhẹ, có triệu chứng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Nặng (Severe)</w:t>
            </w:r>
          </w:p>
        </w:tc>
        <w:tc>
          <w:tcPr>
            <w:tcW w:type="dxa" w:w="4320"/>
            <w:tcBorders>
              <w:top w:val="single" w:sz="4" w:color="000000"/>
              <w:left w:val="single" w:sz="4" w:color="000000"/>
              <w:bottom w:val="single" w:sz="4" w:color="000000"/>
              <w:right w:val="single" w:sz="4" w:color="000000"/>
            </w:tcBorders>
          </w:tcPr>
          <w:p>
            <w:r/>
            <w:r>
              <w:t>Buồng trứng &gt; 12 cm, cổ trướng căng, cô đặc máu (Hct &gt; 45%), suy thận, huyết khối, ARDS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Rất nặng (Critical)</w:t>
            </w:r>
          </w:p>
        </w:tc>
        <w:tc>
          <w:tcPr>
            <w:tcW w:type="dxa" w:w="4320"/>
            <w:tcBorders>
              <w:top w:val="single" w:sz="4" w:color="000000"/>
              <w:left w:val="single" w:sz="4" w:color="000000"/>
              <w:bottom w:val="single" w:sz="4" w:color="000000"/>
              <w:right w:val="single" w:sz="4" w:color="000000"/>
            </w:tcBorders>
          </w:tcPr>
          <w:p>
            <w:r/>
            <w:r>
              <w:t>Huyết khối, ARDS, suy đa cơ quan</w:t>
            </w:r>
          </w:p>
        </w:tc>
      </w:tr>
    </w:tbl>
    <w:p>
      <w:pPr>
        <w:pStyle w:val="Heading2"/>
      </w:pPr>
      <w:r>
        <w:t>1.2. Cơ chế bệnh sinh</w:t>
      </w:r>
    </w:p>
    <w:p>
      <w:r>
        <w:t xml:space="preserve">Sau khi tiêm hCG (trigger hoặc hCG hỗ trợ hoàng thể), buồng trứng tăng tiết </w:t>
      </w:r>
      <w:r>
        <w:rPr>
          <w:b/>
        </w:rPr>
        <w:t>Vascular Endothelial Growth Factor (VEGF)</w:t>
      </w:r>
      <w:r>
        <w:t xml:space="preserve"> và các yếu tố tăng tính thấm khác (angiopoietin, inflammatory cytokines). Hậu quả:</w:t>
      </w:r>
    </w:p>
    <w:p>
      <w:pPr>
        <w:pStyle w:val="ListBullet"/>
      </w:pPr>
      <w:r>
        <w:rPr>
          <w:b/>
        </w:rPr>
        <w:t>Tăng tính thấm mao mạch</w:t>
      </w:r>
      <w:r>
        <w:t xml:space="preserve"> → dịch thoát từ lòng mạch ra khoang thứ ba (cổ trướng, tràn dịch màng phổi, mô kẽ).</w:t>
      </w:r>
    </w:p>
    <w:p>
      <w:pPr>
        <w:pStyle w:val="ListBullet"/>
      </w:pPr>
      <w:r>
        <w:rPr>
          <w:b/>
        </w:rPr>
        <w:t>Cô đặc máu</w:t>
      </w:r>
      <w:r>
        <w:t xml:space="preserve"> → hematocrit tăng, tăng đông → </w:t>
      </w:r>
      <w:r>
        <w:rPr>
          <w:b/>
        </w:rPr>
        <w:t>huyết khối</w:t>
      </w:r>
      <w:r>
        <w:t xml:space="preserve"> (đặc biệt tĩnh mạch chi dưới, hiếm nhưng có thể tử vong).</w:t>
      </w:r>
    </w:p>
    <w:p>
      <w:pPr>
        <w:pStyle w:val="ListBullet"/>
      </w:pPr>
      <w:r>
        <w:rPr>
          <w:b/>
        </w:rPr>
        <w:t>Giảm thể tích tuần hoàn hiệu dụng</w:t>
      </w:r>
      <w:r>
        <w:t xml:space="preserve"> → tăng aldosterone, ADH → giữ nước, natri → phù.</w:t>
      </w:r>
    </w:p>
    <w:p>
      <w:pPr>
        <w:pStyle w:val="ListBullet"/>
      </w:pPr>
      <w:r>
        <w:rPr>
          <w:b/>
        </w:rPr>
        <w:t>Suy thận cấp chức năng</w:t>
      </w:r>
      <w:r>
        <w:t xml:space="preserve"> do giảm tưới máu thận.</w:t>
      </w:r>
    </w:p>
    <w:p>
      <w:r>
        <w:t>Có 2 dạng OHSS:</w:t>
      </w:r>
    </w:p>
    <w:p>
      <w:pPr>
        <w:pStyle w:val="ListBullet"/>
      </w:pPr>
      <w:r>
        <w:rPr>
          <w:b/>
        </w:rPr>
        <w:t>Early OHSS</w:t>
      </w:r>
      <w:r>
        <w:t xml:space="preserve"> (trong vòng 9 ngày sau trigger): liên quan trực tiếp hCG ngoại sinh, xảy ra ở nhóm đáp ứng cao.</w:t>
      </w:r>
    </w:p>
    <w:p>
      <w:pPr>
        <w:pStyle w:val="ListBullet"/>
      </w:pPr>
      <w:r>
        <w:rPr>
          <w:b/>
        </w:rPr>
        <w:t>Late OHSS</w:t>
      </w:r>
      <w:r>
        <w:t xml:space="preserve"> (&gt; 10 ngày sau trigger): liên quan hCG nội sinh từ thai, thường nặng hơn nếu đa thai.</w:t>
      </w:r>
    </w:p>
    <w:p>
      <w:pPr>
        <w:pStyle w:val="Heading2"/>
      </w:pPr>
      <w:r>
        <w:t>1.3. Yếu tố nguy cơ</w:t>
      </w:r>
    </w:p>
    <w:p>
      <w:r>
        <w:t>Theo ASRM 2016 (PMID 27678032):</w:t>
      </w:r>
    </w:p>
    <w:p>
      <w:pPr>
        <w:pStyle w:val="ListBullet"/>
      </w:pPr>
      <w:r>
        <w:rPr>
          <w:b/>
        </w:rPr>
        <w:t>Tuổi trẻ</w:t>
      </w:r>
      <w:r>
        <w:t xml:space="preserve"> (&lt; 35), </w:t>
      </w:r>
      <w:r>
        <w:rPr>
          <w:b/>
        </w:rPr>
        <w:t>BMI thấp</w:t>
      </w:r>
      <w:r>
        <w:t xml:space="preserve">, </w:t>
      </w:r>
      <w:r>
        <w:rPr>
          <w:b/>
        </w:rPr>
        <w:t>buồng trứng đa nang (PCOS)</w:t>
      </w:r>
      <w:r>
        <w:t>.</w:t>
      </w:r>
    </w:p>
    <w:p>
      <w:pPr>
        <w:pStyle w:val="ListBullet"/>
      </w:pPr>
      <w:r>
        <w:rPr>
          <w:b/>
        </w:rPr>
        <w:t>AFC cao</w:t>
      </w:r>
      <w:r>
        <w:t xml:space="preserve"> (&gt; 24 nang) hoặc </w:t>
      </w:r>
      <w:r>
        <w:rPr>
          <w:b/>
        </w:rPr>
        <w:t>AMH cao</w:t>
      </w:r>
      <w:r>
        <w:t xml:space="preserve"> (&gt; 3.4 ng/mL).</w:t>
      </w:r>
    </w:p>
    <w:p>
      <w:pPr>
        <w:pStyle w:val="ListBullet"/>
      </w:pPr>
      <w:r>
        <w:rPr>
          <w:b/>
        </w:rPr>
        <w:t>Đáp ứng buồng trứng quá mức</w:t>
      </w:r>
      <w:r>
        <w:t>: &gt; 20 nang, E2 đỉnh &gt; 3,000–5,000 pg/mL.</w:t>
      </w:r>
    </w:p>
    <w:p>
      <w:pPr>
        <w:pStyle w:val="ListBullet"/>
      </w:pPr>
      <w:r>
        <w:rPr>
          <w:b/>
        </w:rPr>
        <w:t>Tiền sử OHSS</w:t>
      </w:r>
      <w:r>
        <w:t xml:space="preserve"> ở chu kỳ trước.</w:t>
      </w:r>
    </w:p>
    <w:p>
      <w:pPr>
        <w:pStyle w:val="ListBullet"/>
      </w:pPr>
      <w:r>
        <w:rPr>
          <w:b/>
        </w:rPr>
        <w:t>Sử dụng hCG thay vì GnRH agonist trigger</w:t>
      </w:r>
      <w:r>
        <w:t xml:space="preserve"> ở antagonist cycle.</w:t>
      </w:r>
    </w:p>
    <w:p>
      <w:pPr>
        <w:pStyle w:val="ListBullet"/>
      </w:pPr>
      <w:r>
        <w:rPr>
          <w:b/>
        </w:rPr>
        <w:t>Mang thai</w:t>
      </w:r>
      <w:r>
        <w:t xml:space="preserve"> trong chu kỳ → kéo dài và nặng thêm OHSS.</w:t>
      </w:r>
    </w:p>
    <w:p>
      <w:pPr>
        <w:pStyle w:val="Heading2"/>
      </w:pPr>
      <w:r>
        <w:t>1.4. Phòng ngừa</w:t>
      </w:r>
    </w:p>
    <w:p>
      <w:r>
        <w:t>ASRM 2016 (PMID 27678032) và ESHRE 2025 (PMID 41732035) khuyến cáo:</w:t>
      </w:r>
    </w:p>
    <w:p>
      <w:pPr>
        <w:pStyle w:val="ListNumber"/>
      </w:pPr>
      <w:r>
        <w:rPr>
          <w:b/>
        </w:rPr>
        <w:t>Chọn phác đồ GnRH antagonist</w:t>
      </w:r>
      <w:r>
        <w:t xml:space="preserve"> cho bệnh nhân nguy cơ cao — dễ switch sang GnRH agonist trigger.</w:t>
      </w:r>
    </w:p>
    <w:p>
      <w:pPr>
        <w:pStyle w:val="ListNumber"/>
      </w:pPr>
      <w:r>
        <w:rPr>
          <w:b/>
        </w:rPr>
        <w:t>GnRH agonist trigger</w:t>
      </w:r>
      <w:r>
        <w:t xml:space="preserve"> thay vì hCG ở antagonist cycle: </w:t>
      </w:r>
      <w:r>
        <w:rPr>
          <w:b/>
        </w:rPr>
        <w:t>giảm gần như hoàn toàn OHSS nặng</w:t>
      </w:r>
      <w:r>
        <w:t xml:space="preserve"> (KEEP Trial, NEJM).</w:t>
      </w:r>
    </w:p>
    <w:p>
      <w:pPr>
        <w:pStyle w:val="ListNumber"/>
      </w:pPr>
      <w:r>
        <w:rPr>
          <w:b/>
        </w:rPr>
        <w:t>GnRH agonist trigger + "freeze-all"</w:t>
      </w:r>
      <w:r>
        <w:t xml:space="preserve"> cho bệnh nhân nguy cơ cao: tránh thai kỳ → không có late OHSS.</w:t>
      </w:r>
    </w:p>
    <w:p>
      <w:pPr>
        <w:pStyle w:val="ListNumber"/>
      </w:pPr>
      <w:r>
        <w:rPr>
          <w:b/>
        </w:rPr>
        <w:t>Coasting</w:t>
      </w:r>
      <w:r>
        <w:t xml:space="preserve"> (ngừng gonadotropin, chờ E2 giảm): chỉ định khi E2 &gt; 4,000–5,000 pg/mL, hiệu quả trung bình.</w:t>
      </w:r>
    </w:p>
    <w:p>
      <w:pPr>
        <w:pStyle w:val="ListNumber"/>
      </w:pPr>
      <w:r>
        <w:rPr>
          <w:b/>
        </w:rPr>
        <w:t>Cabergoline</w:t>
      </w:r>
      <w:r>
        <w:t xml:space="preserve"> (dopamine agonist) 0.5 mg/ngày × 8 ngày từ ngày trigger: ức chế VEGF → </w:t>
      </w:r>
      <w:r>
        <w:rPr>
          <w:b/>
        </w:rPr>
        <w:t>giảm tỉ lệ OHSS trung bình</w:t>
      </w:r>
      <w:r>
        <w:t xml:space="preserve"> (Tang 2012, Cochrane).</w:t>
      </w:r>
    </w:p>
    <w:p>
      <w:pPr>
        <w:pStyle w:val="ListNumber"/>
      </w:pPr>
      <w:r>
        <w:rPr>
          <w:b/>
        </w:rPr>
        <w:t>hCG liều thấp (trigger) ở nhóm high responder</w:t>
      </w:r>
      <w:r>
        <w:t>: 3,300–5,000 IU thay vì 10,000 IU.</w:t>
      </w:r>
    </w:p>
    <w:p>
      <w:pPr>
        <w:pStyle w:val="ListNumber"/>
      </w:pPr>
      <w:r>
        <w:rPr>
          <w:b/>
        </w:rPr>
        <w:t>"Step-down" gonadotropin protocol</w:t>
      </w:r>
      <w:r>
        <w:t>: giảm liều FSH khi thấy nhiều nang nhỏ.</w:t>
      </w:r>
    </w:p>
    <w:p>
      <w:pPr>
        <w:pStyle w:val="Heading2"/>
      </w:pPr>
      <w:r>
        <w:t>1.5. Điều trị OHSS nặng</w:t>
      </w:r>
    </w:p>
    <w:p>
      <w:r>
        <w:t>Theo ASRM 2016 (PMID 27678032):</w:t>
      </w:r>
    </w:p>
    <w:p>
      <w:pPr>
        <w:pStyle w:val="ListBullet"/>
      </w:pPr>
      <w:r>
        <w:rPr>
          <w:b/>
        </w:rPr>
        <w:t>Nhập viện</w:t>
      </w:r>
      <w:r>
        <w:t xml:space="preserve"> theo dõi sát (cân nặng, chu vi bụng, I/O, Hct, điện giải, siêu âm Doppler chi dưới).</w:t>
      </w:r>
    </w:p>
    <w:p>
      <w:pPr>
        <w:pStyle w:val="ListBullet"/>
      </w:pPr>
      <w:r>
        <w:rPr>
          <w:b/>
        </w:rPr>
        <w:t>Truyền dịch tĩnh mạch</w:t>
      </w:r>
      <w:r>
        <w:t>: NaCl 0.9% hoặc Ringer lactate 1–1.5 L/giờ đầu, sau đó duy trì.</w:t>
      </w:r>
    </w:p>
    <w:p>
      <w:pPr>
        <w:pStyle w:val="ListBullet"/>
      </w:pPr>
      <w:r>
        <w:rPr>
          <w:b/>
        </w:rPr>
        <w:t>Albumin 25%</w:t>
      </w:r>
      <w:r>
        <w:t xml:space="preserve"> (50 g) hoặc </w:t>
      </w:r>
      <w:r>
        <w:rPr>
          <w:b/>
        </w:rPr>
        <w:t>HES</w:t>
      </w:r>
      <w:r>
        <w:t xml:space="preserve"> (hydroxyethyl starch) để duy trì thể tích lòng mạch.</w:t>
      </w:r>
    </w:p>
    <w:p>
      <w:pPr>
        <w:pStyle w:val="ListBullet"/>
      </w:pPr>
      <w:r>
        <w:rPr>
          <w:b/>
        </w:rPr>
        <w:t>Paracentesis</w:t>
      </w:r>
      <w:r>
        <w:t xml:space="preserve"> (chọc hút dịch cổ trướng): nếu khó thở, đau, Hct không cải thiện → dẫn lưu tụ cố định nếu cần.</w:t>
      </w:r>
    </w:p>
    <w:p>
      <w:pPr>
        <w:pStyle w:val="ListBullet"/>
      </w:pPr>
      <w:r>
        <w:rPr>
          <w:b/>
        </w:rPr>
        <w:t>Dự phòng huyết khối</w:t>
      </w:r>
      <w:r>
        <w:t>: heparin trọng lượng phân tử thấp (LMWH) nếu Hct &gt; 45% hoặc bất động.</w:t>
      </w:r>
    </w:p>
    <w:p>
      <w:pPr>
        <w:pStyle w:val="ListBullet"/>
      </w:pPr>
      <w:r>
        <w:rPr>
          <w:b/>
        </w:rPr>
        <w:t>Kháng estrogen</w:t>
      </w:r>
      <w:r>
        <w:t xml:space="preserve"> (không có chỉ định thường quy).</w:t>
      </w:r>
    </w:p>
    <w:p>
      <w:pPr>
        <w:pStyle w:val="ListBullet"/>
      </w:pPr>
      <w:r>
        <w:rPr>
          <w:b/>
        </w:rPr>
        <w:t>Tránh thai kỳ</w:t>
      </w:r>
      <w:r>
        <w:t>: nếu chưa chuyển phôi → "freeze-all"; nếu đã chuyển → thảo luận với bệnh nhân (vấn đề đạo đức, hiếm khi đình chỉ thai).</w:t>
      </w:r>
    </w:p>
    <w:p/>
    <w:p>
      <w:pPr>
        <w:pStyle w:val="Heading1"/>
      </w:pPr>
      <w:r>
        <w:t>2. ĐA THAI (MULTIPLE PREGNANCY) — BIẾN CHỨNG HÀNG ĐẦU CỦA ART</w:t>
      </w:r>
    </w:p>
    <w:p>
      <w:pPr>
        <w:pStyle w:val="Heading2"/>
      </w:pPr>
      <w:r>
        <w:t>2.1. Dịch tễ và tầm quan trọng</w:t>
      </w:r>
    </w:p>
    <w:p>
      <w:r>
        <w:t xml:space="preserve">Đa thai là biến chứng phổ biến nhất của ART và là nguyên nhân chính gây tăng tỉ lệ bệnh tật chu sinh. ASRM 2022 Committee Opinion (PMID 35115166) nhấn mạnh: đa thai liên quan ART là vấn đề </w:t>
      </w:r>
      <w:r>
        <w:rPr>
          <w:b/>
        </w:rPr>
        <w:t>quan trọng nhất</w:t>
      </w:r>
      <w:r>
        <w:t xml:space="preserve"> cần giải quyết vì ART chiếm một tỉ lệ lớn đa thai so với thai tự nhiên.</w:t>
      </w:r>
    </w:p>
    <w:p>
      <w:r>
        <w:t>Tỉ lệ đa thai trong ART hiện nay ở Mỹ (theo SART/CDC 2021):</w:t>
      </w:r>
    </w:p>
    <w:p>
      <w:pPr>
        <w:pStyle w:val="ListBullet"/>
      </w:pPr>
      <w:r>
        <w:t>Song thai: ~6–7% (so với 1–2% tự nhiên).</w:t>
      </w:r>
    </w:p>
    <w:p>
      <w:pPr>
        <w:pStyle w:val="ListBullet"/>
      </w:pPr>
      <w:r>
        <w:t>Tam thai trở lên: &lt; 0.5% (giảm mạnh từ ~2% nhờ giới hạn số phôi chuyển).</w:t>
      </w:r>
    </w:p>
    <w:p>
      <w:pPr>
        <w:pStyle w:val="Heading2"/>
      </w:pPr>
      <w:r>
        <w:t>2.2. Tác động lên mẹ và con</w:t>
      </w:r>
    </w:p>
    <w:p>
      <w:r>
        <w:rPr>
          <w:b/>
        </w:rPr>
        <w:t>Tác động lên mẹ</w:t>
      </w:r>
      <w:r>
        <w:t xml:space="preserve"> (theo ASRM 2022 - PMID 35115166):</w:t>
      </w:r>
    </w:p>
    <w:p>
      <w:pPr>
        <w:pStyle w:val="ListBullet"/>
      </w:pPr>
      <w:r>
        <w:t xml:space="preserve">Tăng tỉ lệ </w:t>
      </w:r>
      <w:r>
        <w:rPr>
          <w:b/>
        </w:rPr>
        <w:t>tiền sản giật, đái tháo đường thai kỳ, nhau bong non, nhau tiền đạo, sinh mổ, xuất huyết sau sinh, tử vong mẹ</w:t>
      </w:r>
      <w:r>
        <w:t>.</w:t>
      </w:r>
    </w:p>
    <w:p>
      <w:r>
        <w:rPr>
          <w:b/>
        </w:rPr>
        <w:t>Tác động lên thai nhi/trẻ sơ sinh</w:t>
      </w:r>
      <w:r>
        <w:t>:</w:t>
      </w:r>
    </w:p>
    <w:p>
      <w:pPr>
        <w:pStyle w:val="ListBullet"/>
      </w:pPr>
      <w:r>
        <w:rPr>
          <w:b/>
        </w:rPr>
        <w:t>Sinh non</w:t>
      </w:r>
      <w:r>
        <w:t>: song thai trung bình 35–36 tuần, tam thai 32 tuần, tứ thai 29 tuần.</w:t>
      </w:r>
    </w:p>
    <w:p>
      <w:pPr>
        <w:pStyle w:val="ListBullet"/>
      </w:pPr>
      <w:r>
        <w:rPr>
          <w:b/>
        </w:rPr>
        <w:t>Nhẹ cân</w:t>
      </w:r>
      <w:r>
        <w:t xml:space="preserve"> (LBW, VLBW), </w:t>
      </w:r>
      <w:r>
        <w:rPr>
          <w:b/>
        </w:rPr>
        <w:t>SGA</w:t>
      </w:r>
      <w:r>
        <w:t xml:space="preserve">, </w:t>
      </w:r>
      <w:r>
        <w:rPr>
          <w:b/>
        </w:rPr>
        <w:t>nhập NICU</w:t>
      </w:r>
      <w:r>
        <w:t xml:space="preserve">, </w:t>
      </w:r>
      <w:r>
        <w:rPr>
          <w:b/>
        </w:rPr>
        <w:t>bại não</w:t>
      </w:r>
      <w:r>
        <w:t xml:space="preserve">, </w:t>
      </w:r>
      <w:r>
        <w:rPr>
          <w:b/>
        </w:rPr>
        <w:t>tử vong chu sinh</w:t>
      </w:r>
      <w:r>
        <w:t>.</w:t>
      </w:r>
    </w:p>
    <w:p>
      <w:pPr>
        <w:pStyle w:val="ListBullet"/>
      </w:pPr>
      <w:r>
        <w:t xml:space="preserve">Nguy cơ </w:t>
      </w:r>
      <w:r>
        <w:rPr>
          <w:b/>
        </w:rPr>
        <w:t>dị tật bẩm sinh</w:t>
      </w:r>
      <w:r>
        <w:t xml:space="preserve"> tăng nhẹ (liên quan đa thai và bản thân ART).</w:t>
      </w:r>
    </w:p>
    <w:p>
      <w:pPr>
        <w:pStyle w:val="Heading2"/>
      </w:pPr>
      <w:r>
        <w:t>2.3. Giới hạn số phôi chuyển — Biện pháp phòng ngừa cốt lõi</w:t>
      </w:r>
    </w:p>
    <w:p>
      <w:r>
        <w:t>ASRM 2021 Committee Opinion (PMID 34330423) cập nhật giới hạn số phôi chuyển dựa trên tuổi mẹ, giai đoạn phôi và tiên lượng: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Tuổi mẹ</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Blastocyst (ngày 5–6)</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Cleavage (ngày 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 35</w:t>
            </w:r>
          </w:p>
        </w:tc>
        <w:tc>
          <w:tcPr>
            <w:tcW w:type="dxa" w:w="2880"/>
            <w:tcBorders>
              <w:top w:val="single" w:sz="4" w:color="000000"/>
              <w:left w:val="single" w:sz="4" w:color="000000"/>
              <w:bottom w:val="single" w:sz="4" w:color="000000"/>
              <w:right w:val="single" w:sz="4" w:color="000000"/>
            </w:tcBorders>
          </w:tcPr>
          <w:p>
            <w:r/>
            <w:r>
              <w:t>1 (khuyến cáo eSET) – 2</w:t>
            </w:r>
          </w:p>
        </w:tc>
        <w:tc>
          <w:tcPr>
            <w:tcW w:type="dxa" w:w="2880"/>
            <w:tcBorders>
              <w:top w:val="single" w:sz="4" w:color="000000"/>
              <w:left w:val="single" w:sz="4" w:color="000000"/>
              <w:bottom w:val="single" w:sz="4" w:color="000000"/>
              <w:right w:val="single" w:sz="4" w:color="000000"/>
            </w:tcBorders>
          </w:tcPr>
          <w:p>
            <w:r/>
            <w:r>
              <w:t>1–2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35–37</w:t>
            </w:r>
          </w:p>
        </w:tc>
        <w:tc>
          <w:tcPr>
            <w:tcW w:type="dxa" w:w="2880"/>
            <w:tcBorders>
              <w:top w:val="single" w:sz="4" w:color="000000"/>
              <w:left w:val="single" w:sz="4" w:color="000000"/>
              <w:bottom w:val="single" w:sz="4" w:color="000000"/>
              <w:right w:val="single" w:sz="4" w:color="000000"/>
            </w:tcBorders>
          </w:tcPr>
          <w:p>
            <w:r/>
            <w:r>
              <w:t>2</w:t>
            </w:r>
          </w:p>
        </w:tc>
        <w:tc>
          <w:tcPr>
            <w:tcW w:type="dxa" w:w="2880"/>
            <w:tcBorders>
              <w:top w:val="single" w:sz="4" w:color="000000"/>
              <w:left w:val="single" w:sz="4" w:color="000000"/>
              <w:bottom w:val="single" w:sz="4" w:color="000000"/>
              <w:right w:val="single" w:sz="4" w:color="000000"/>
            </w:tcBorders>
          </w:tcPr>
          <w:p>
            <w:r/>
            <w:r>
              <w:t>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38–40</w:t>
            </w:r>
          </w:p>
        </w:tc>
        <w:tc>
          <w:tcPr>
            <w:tcW w:type="dxa" w:w="2880"/>
            <w:tcBorders>
              <w:top w:val="single" w:sz="4" w:color="000000"/>
              <w:left w:val="single" w:sz="4" w:color="000000"/>
              <w:bottom w:val="single" w:sz="4" w:color="000000"/>
              <w:right w:val="single" w:sz="4" w:color="000000"/>
            </w:tcBorders>
          </w:tcPr>
          <w:p>
            <w:r/>
            <w:r>
              <w:t>3</w:t>
            </w:r>
          </w:p>
        </w:tc>
        <w:tc>
          <w:tcPr>
            <w:tcW w:type="dxa" w:w="2880"/>
            <w:tcBorders>
              <w:top w:val="single" w:sz="4" w:color="000000"/>
              <w:left w:val="single" w:sz="4" w:color="000000"/>
              <w:bottom w:val="single" w:sz="4" w:color="000000"/>
              <w:right w:val="single" w:sz="4" w:color="000000"/>
            </w:tcBorders>
          </w:tcPr>
          <w:p>
            <w:r/>
            <w:r>
              <w:t>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41–42</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r>
              <w:t>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 42</w:t>
            </w:r>
          </w:p>
        </w:tc>
        <w:tc>
          <w:tcPr>
            <w:tcW w:type="dxa" w:w="2880"/>
            <w:tcBorders>
              <w:top w:val="single" w:sz="4" w:color="000000"/>
              <w:left w:val="single" w:sz="4" w:color="000000"/>
              <w:bottom w:val="single" w:sz="4" w:color="000000"/>
              <w:right w:val="single" w:sz="4" w:color="000000"/>
            </w:tcBorders>
          </w:tcPr>
          <w:p>
            <w:r/>
            <w:r>
              <w:t>5</w:t>
            </w:r>
          </w:p>
        </w:tc>
        <w:tc>
          <w:tcPr>
            <w:tcW w:type="dxa" w:w="2880"/>
            <w:tcBorders>
              <w:top w:val="single" w:sz="4" w:color="000000"/>
              <w:left w:val="single" w:sz="4" w:color="000000"/>
              <w:bottom w:val="single" w:sz="4" w:color="000000"/>
              <w:right w:val="single" w:sz="4" w:color="000000"/>
            </w:tcBorders>
          </w:tcPr>
          <w:p>
            <w:r/>
            <w:r>
              <w:t>5</w:t>
            </w:r>
          </w:p>
        </w:tc>
      </w:tr>
    </w:tbl>
    <w:p>
      <w:r>
        <w:rPr>
          <w:b/>
        </w:rPr>
        <w:t>eSET (elective Single Embryo Transfer)</w:t>
      </w:r>
      <w:r>
        <w:t xml:space="preserve"> được khuyến cáo cho:</w:t>
      </w:r>
    </w:p>
    <w:p>
      <w:pPr>
        <w:pStyle w:val="ListBullet"/>
      </w:pPr>
      <w:r>
        <w:t>Bệnh nhân &lt; 35 tuổi, blastocyst chất lượng tốt, chu kỳ đầu tiên.</w:t>
      </w:r>
    </w:p>
    <w:p>
      <w:pPr>
        <w:pStyle w:val="ListBullet"/>
      </w:pPr>
      <w:r>
        <w:t>Bệnh nhân có tiền sử sinh non hoặc sẹo mổ cũ.</w:t>
      </w:r>
    </w:p>
    <w:p>
      <w:r>
        <w:rPr>
          <w:b/>
        </w:rPr>
        <w:t>PGT-A</w:t>
      </w:r>
      <w:r>
        <w:t xml:space="preserve"> (sàng lọc lệch bội) giúp chọn phôi bình thường → </w:t>
      </w:r>
      <w:r>
        <w:rPr>
          <w:b/>
        </w:rPr>
        <w:t>giảm đa thai mà không giảm tỉ lệ thai lâm sàng</w:t>
      </w:r>
      <w:r>
        <w:t xml:space="preserve"> khi chuyển 1 phôi (ASRM 2021 - PMID 34330423).</w:t>
      </w:r>
    </w:p>
    <w:p>
      <w:pPr>
        <w:pStyle w:val="Heading2"/>
      </w:pPr>
      <w:r>
        <w:t>2.4. Giảm thai đa thai (Multifetal Pregnancy Reduction — MFPR)</w:t>
      </w:r>
    </w:p>
    <w:p>
      <w:r>
        <w:t xml:space="preserve">Khi đa thai xảy ra, MFPR (thường giảm xuống song thai ở tam thai trở lên) là lựa chọn. ACOG Committee Opinion No. 719 (PMID 28832490) ghi nhận: MFPR cải thiện cơ học so với tiếp tục tam thai trở lên, nhưng vẫn tăng nguy cơ so với song thai tự nhiên. </w:t>
      </w:r>
      <w:r>
        <w:rPr>
          <w:b/>
        </w:rPr>
        <w:t>Quyết định thuộc về bệnh nhân</w:t>
      </w:r>
      <w:r>
        <w:t xml:space="preserve"> sau tư vấn đầy đủ về rủi ro.</w:t>
      </w:r>
    </w:p>
    <w:p>
      <w:r>
        <w:t>ACOG Practice Bulletin No. 231 (PMID 34011891) - Multifetal gestations: twin, triplet, and higher-order - là guideline mới nhất của ACOG cho quản lý đa thai, kết hợp giữa sản khoa và hỗ trợ sinh sản.</w:t>
      </w:r>
    </w:p>
    <w:p/>
    <w:p>
      <w:pPr>
        <w:pStyle w:val="Heading1"/>
      </w:pPr>
      <w:r>
        <w:t>3. THAI NGOÀI TỬ CUNG (ECTOPIC PREGNANCY — EP) VÀ THAI HETEROTOPIC</w:t>
      </w:r>
    </w:p>
    <w:p>
      <w:pPr>
        <w:pStyle w:val="Heading2"/>
      </w:pPr>
      <w:r>
        <w:t>3.1. Dịch tễ trong ART</w:t>
      </w:r>
    </w:p>
    <w:p>
      <w:r>
        <w:t xml:space="preserve">ART </w:t>
      </w:r>
      <w:r>
        <w:rPr>
          <w:b/>
        </w:rPr>
        <w:t>làm tăng tỉ lệ thai ngoài tử cung</w:t>
      </w:r>
      <w:r>
        <w:t xml:space="preserve"> so với thai tự nhiên (1–2% vs ~1%). Criscione 2025 (PMID 41597369) ghi nhận: EP sau IVF-ET có thể xảy ra ngay cả ở bệnh nhân đã cắt vòi trứng (salpingectomy) — do phôi di chuyển ngược qua đầu bướm hoặc rơi vào ổ bụng.</w:t>
      </w:r>
    </w:p>
    <w:p>
      <w:r>
        <w:t>Các vị trí EP sau ART (Criscione 2025 - PMID 41597369):</w:t>
      </w:r>
    </w:p>
    <w:p>
      <w:pPr>
        <w:pStyle w:val="ListBullet"/>
      </w:pPr>
      <w:r>
        <w:t>Vòi trứng (đặc biệt stump vòi sau salpingectomy).</w:t>
      </w:r>
    </w:p>
    <w:p>
      <w:pPr>
        <w:pStyle w:val="ListBullet"/>
      </w:pPr>
      <w:r>
        <w:t>Buồng trứng.</w:t>
      </w:r>
    </w:p>
    <w:p>
      <w:pPr>
        <w:pStyle w:val="ListBullet"/>
      </w:pPr>
      <w:r>
        <w:t>Ổ bụng.</w:t>
      </w:r>
    </w:p>
    <w:p>
      <w:pPr>
        <w:pStyle w:val="ListBullet"/>
      </w:pPr>
      <w:r>
        <w:t>Cổ tử cung.</w:t>
      </w:r>
    </w:p>
    <w:p>
      <w:pPr>
        <w:pStyle w:val="ListBullet"/>
      </w:pPr>
      <w:r>
        <w:t>Sẹo mổ cũ (c-section scar EP).</w:t>
      </w:r>
    </w:p>
    <w:p>
      <w:pPr>
        <w:pStyle w:val="Heading2"/>
      </w:pPr>
      <w:r>
        <w:t>3.2. Thai heterotopic (đồng thời trong + ngoài tử cung)</w:t>
      </w:r>
    </w:p>
    <w:p>
      <w:r>
        <w:t xml:space="preserve">Tỉ lệ 1/100 đến 1/500 ART (Criscione 2025 - PMID 41597369) — </w:t>
      </w:r>
      <w:r>
        <w:rPr>
          <w:b/>
        </w:rPr>
        <w:t>cao hơn nhiều</w:t>
      </w:r>
      <w:r>
        <w:t xml:space="preserve"> so với tự nhiên (1/30,000). Cơ chế: chuyển nhiều phôi, áp lực bơm phôi đẩy phôi vào vòi. Chẩn đoán khó vì đã có thai trong tử cung che lấp triệu chứng. </w:t>
      </w:r>
      <w:r>
        <w:rPr>
          <w:b/>
        </w:rPr>
        <w:t>Siêu âm đầu dò âm đạo + β-hCG định lượng</w:t>
      </w:r>
      <w:r>
        <w:t xml:space="preserve"> là chìa khóa.</w:t>
      </w:r>
    </w:p>
    <w:p>
      <w:pPr>
        <w:pStyle w:val="Heading2"/>
      </w:pPr>
      <w:r>
        <w:t>3.3. Yếu tố nguy cơ và phòng ngừa</w:t>
      </w:r>
    </w:p>
    <w:p>
      <w:r>
        <w:t>Theo Criscione 2025 (PMID 41597369) và Haddadi 2026 (PMID 42219343):</w:t>
      </w:r>
    </w:p>
    <w:p>
      <w:pPr>
        <w:pStyle w:val="ListBullet"/>
      </w:pPr>
      <w:r>
        <w:rPr>
          <w:b/>
        </w:rPr>
        <w:t>Tiền sử EP, salpingectomy, tổn thương vòi trứng</w:t>
      </w:r>
      <w:r>
        <w:t xml:space="preserve"> → nguy cơ cao.</w:t>
      </w:r>
    </w:p>
    <w:p>
      <w:pPr>
        <w:pStyle w:val="ListBullet"/>
      </w:pPr>
      <w:r>
        <w:rPr>
          <w:b/>
        </w:rPr>
        <w:t>Nội mạc tử cung mỏng</w:t>
      </w:r>
      <w:r>
        <w:t xml:space="preserve"> (&lt; 8–10 mm) → tăng EP (Haddadi 2026 - PMID 42219343).</w:t>
      </w:r>
    </w:p>
    <w:p>
      <w:pPr>
        <w:pStyle w:val="ListBullet"/>
      </w:pPr>
      <w:r>
        <w:rPr>
          <w:b/>
        </w:rPr>
        <w:t>Thể tích chuyển phôi &gt; 20–30 µL, đặt phôi gần đáy</w:t>
      </w:r>
      <w:r>
        <w:t xml:space="preserve"> → tăng EP.</w:t>
      </w:r>
    </w:p>
    <w:p>
      <w:pPr>
        <w:pStyle w:val="ListBullet"/>
      </w:pPr>
      <w:r>
        <w:rPr>
          <w:b/>
        </w:rPr>
        <w:t>Chuyển phôi dễ, dưới siêu âm hướng dẫn, thể tích tối thiểu</w:t>
      </w:r>
      <w:r>
        <w:t xml:space="preserve"> → giảm EP.</w:t>
      </w:r>
    </w:p>
    <w:p>
      <w:pPr>
        <w:pStyle w:val="Heading2"/>
      </w:pPr>
      <w:r>
        <w:t>3.4. Xử trí</w:t>
      </w:r>
    </w:p>
    <w:p>
      <w:pPr>
        <w:pStyle w:val="ListBullet"/>
      </w:pPr>
      <w:r>
        <w:rPr>
          <w:b/>
        </w:rPr>
        <w:t>Methotrexate</w:t>
      </w:r>
      <w:r>
        <w:t xml:space="preserve"> cho EP ổn định, không muốn giữ thai trong tử cung (chống chỉ định nếu có thai sống trong tử cung).</w:t>
      </w:r>
    </w:p>
    <w:p>
      <w:pPr>
        <w:pStyle w:val="ListBullet"/>
      </w:pPr>
      <w:r>
        <w:rPr>
          <w:b/>
        </w:rPr>
        <w:t>Phẫu thuật nội soi</w:t>
      </w:r>
      <w:r>
        <w:t xml:space="preserve"> (salpingostomy/salpingectomy) cho EP vỡ, không ổn định, hoặc thai &gt; 4 cm.</w:t>
      </w:r>
    </w:p>
    <w:p>
      <w:pPr>
        <w:pStyle w:val="ListBullet"/>
      </w:pPr>
      <w:r>
        <w:rPr>
          <w:b/>
        </w:rPr>
        <w:t>Heterotopic pregnancy</w:t>
      </w:r>
      <w:r>
        <w:t xml:space="preserve">: giữ thai trong tử cung, xử trí EP (MTX </w:t>
      </w:r>
      <w:r>
        <w:rPr>
          <w:b/>
        </w:rPr>
        <w:t>CHỐNG CHỈ ĐỊNH</w:t>
      </w:r>
      <w:r>
        <w:t xml:space="preserve"> vì diệt luôn thai trong tử cung).</w:t>
      </w:r>
    </w:p>
    <w:p/>
    <w:p>
      <w:pPr>
        <w:pStyle w:val="Heading1"/>
      </w:pPr>
      <w:r>
        <w:t>4. BIẾN CHỨNG SẢN KHOA VÀ CHU SINH</w:t>
      </w:r>
    </w:p>
    <w:p>
      <w:pPr>
        <w:pStyle w:val="Heading2"/>
      </w:pPr>
      <w:r>
        <w:t>4.1. So với thai tự nhiên</w:t>
      </w:r>
    </w:p>
    <w:p>
      <w:r>
        <w:t xml:space="preserve">Các nghiên cứu quần thể lớn cho thấy ART singleton tăng nguy cơ so với tự nhiên một cách </w:t>
      </w:r>
      <w:r>
        <w:rPr>
          <w:b/>
        </w:rPr>
        <w:t>độc lập với đa thai</w:t>
      </w:r>
      <w:r>
        <w:t xml:space="preserve"> (do yếu tố vô sinh nền, kỹ thuật, hormone exposure):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ART singleton so với tự nhiên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Sinh non (&lt; 37 tuần)</w:t>
            </w:r>
          </w:p>
        </w:tc>
        <w:tc>
          <w:tcPr>
            <w:tcW w:type="dxa" w:w="4320"/>
            <w:tcBorders>
              <w:top w:val="single" w:sz="4" w:color="000000"/>
              <w:left w:val="single" w:sz="4" w:color="000000"/>
              <w:bottom w:val="single" w:sz="4" w:color="000000"/>
              <w:right w:val="single" w:sz="4" w:color="000000"/>
            </w:tcBorders>
          </w:tcPr>
          <w:p>
            <w:r/>
            <w:r>
              <w:t>Tăng ~1.5–2 lần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Nhẹ cân (LBW &lt; 2500 g)</w:t>
            </w:r>
          </w:p>
        </w:tc>
        <w:tc>
          <w:tcPr>
            <w:tcW w:type="dxa" w:w="4320"/>
            <w:tcBorders>
              <w:top w:val="single" w:sz="4" w:color="000000"/>
              <w:left w:val="single" w:sz="4" w:color="000000"/>
              <w:bottom w:val="single" w:sz="4" w:color="000000"/>
              <w:right w:val="single" w:sz="4" w:color="000000"/>
            </w:tcBorders>
          </w:tcPr>
          <w:p>
            <w:r/>
            <w:r>
              <w:t>Tăng ~1.5–2 lần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SGA</w:t>
            </w:r>
          </w:p>
        </w:tc>
        <w:tc>
          <w:tcPr>
            <w:tcW w:type="dxa" w:w="4320"/>
            <w:tcBorders>
              <w:top w:val="single" w:sz="4" w:color="000000"/>
              <w:left w:val="single" w:sz="4" w:color="000000"/>
              <w:bottom w:val="single" w:sz="4" w:color="000000"/>
              <w:right w:val="single" w:sz="4" w:color="000000"/>
            </w:tcBorders>
          </w:tcPr>
          <w:p>
            <w:r/>
            <w:r>
              <w:t>Tăng nhẹ</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sản giật</w:t>
            </w:r>
          </w:p>
        </w:tc>
        <w:tc>
          <w:tcPr>
            <w:tcW w:type="dxa" w:w="4320"/>
            <w:tcBorders>
              <w:top w:val="single" w:sz="4" w:color="000000"/>
              <w:left w:val="single" w:sz="4" w:color="000000"/>
              <w:bottom w:val="single" w:sz="4" w:color="000000"/>
              <w:right w:val="single" w:sz="4" w:color="000000"/>
            </w:tcBorders>
          </w:tcPr>
          <w:p>
            <w:r/>
            <w:r>
              <w:t>Tăng ~1.5 lần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Nhau bong non</w:t>
            </w:r>
          </w:p>
        </w:tc>
        <w:tc>
          <w:tcPr>
            <w:tcW w:type="dxa" w:w="4320"/>
            <w:tcBorders>
              <w:top w:val="single" w:sz="4" w:color="000000"/>
              <w:left w:val="single" w:sz="4" w:color="000000"/>
              <w:bottom w:val="single" w:sz="4" w:color="000000"/>
              <w:right w:val="single" w:sz="4" w:color="000000"/>
            </w:tcBorders>
          </w:tcPr>
          <w:p>
            <w:r/>
            <w:r>
              <w:t>Tăng ~1.5 lần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Nhau tiền đạo</w:t>
            </w:r>
          </w:p>
        </w:tc>
        <w:tc>
          <w:tcPr>
            <w:tcW w:type="dxa" w:w="4320"/>
            <w:tcBorders>
              <w:top w:val="single" w:sz="4" w:color="000000"/>
              <w:left w:val="single" w:sz="4" w:color="000000"/>
              <w:bottom w:val="single" w:sz="4" w:color="000000"/>
              <w:right w:val="single" w:sz="4" w:color="000000"/>
            </w:tcBorders>
          </w:tcPr>
          <w:p>
            <w:r/>
            <w:r>
              <w:t>Tăng ~2–3 lần (đặc biệt FET)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 tật bẩm sinh</w:t>
            </w:r>
          </w:p>
        </w:tc>
        <w:tc>
          <w:tcPr>
            <w:tcW w:type="dxa" w:w="4320"/>
            <w:tcBorders>
              <w:top w:val="single" w:sz="4" w:color="000000"/>
              <w:left w:val="single" w:sz="4" w:color="000000"/>
              <w:bottom w:val="single" w:sz="4" w:color="000000"/>
              <w:right w:val="single" w:sz="4" w:color="000000"/>
            </w:tcBorders>
          </w:tcPr>
          <w:p>
            <w:r/>
            <w:r>
              <w:t>Tăng ~1.2–1.5 lần</w:t>
            </w:r>
          </w:p>
        </w:tc>
      </w:tr>
    </w:tbl>
    <w:p>
      <w:pPr>
        <w:pStyle w:val="Heading2"/>
      </w:pPr>
      <w:r>
        <w:t>4.2. PCOS — bệnh nhân đặc biệt nguy cơ cao</w:t>
      </w:r>
    </w:p>
    <w:p>
      <w:r>
        <w:t>Ban 2024 meta-analysis (PMID 38184624) ghi nhận bệnh nhân PCOS làm ART tăng:</w:t>
      </w:r>
    </w:p>
    <w:p>
      <w:pPr>
        <w:pStyle w:val="ListBullet"/>
      </w:pPr>
      <w:r>
        <w:t>Tiền sản giật, đái tháo đường thai kỳ, sinh non, nhẹ cân so với non-PCOS ART.</w:t>
      </w:r>
    </w:p>
    <w:p>
      <w:r>
        <w:t>Cơ chế: hyperandrogenism, insulin resistance, béo phì, nội mạc tử cung kém tiếp nhận.</w:t>
      </w:r>
    </w:p>
    <w:p>
      <w:pPr>
        <w:pStyle w:val="Heading2"/>
      </w:pPr>
      <w:r>
        <w:t>4.3. Mang thai hộ (Gestational Carrier)</w:t>
      </w:r>
    </w:p>
    <w:p>
      <w:r>
        <w:t>Matsuzaki 2024 meta-analysis (JAMA Netw Open, PMID 39042408) cho thấy mang thai hộ có tỉ lệ tiền sản giật, sinh mổ, nhau bong non cao hơn IVF conventional. Cần tư vấn kỹ cho bên nhờ mang và bên mang thai.</w:t>
      </w:r>
    </w:p>
    <w:p>
      <w:pPr>
        <w:pStyle w:val="Heading2"/>
      </w:pPr>
      <w:r>
        <w:t>4.4. Bảo quản phôi kéo dài</w:t>
      </w:r>
    </w:p>
    <w:p>
      <w:r>
        <w:t xml:space="preserve">Zolfaroli 2024 (PMID 39425814) cho thấy bảo quản phôi kéo dài (&gt; 5 năm) </w:t>
      </w:r>
      <w:r>
        <w:rPr>
          <w:b/>
        </w:rPr>
        <w:t>không tăng nguy cơ</w:t>
      </w:r>
      <w:r>
        <w:t xml:space="preserve"> về tỉ lệ sống, dị tật, hoặc bất thường chu sinh so với bảo quản ngắn. Yên tâm cho bệnh nhân trữ phôi dài hạn (ví dụ trước điều trị ung thư).</w:t>
      </w:r>
    </w:p>
    <w:p/>
    <w:p>
      <w:pPr>
        <w:pStyle w:val="Heading1"/>
      </w:pPr>
      <w:r>
        <w:t>5. NGUY CƠ UNG THƯ DÀI HẠN</w:t>
      </w:r>
    </w:p>
    <w:p>
      <w:pPr>
        <w:pStyle w:val="Heading2"/>
      </w:pPr>
      <w:r>
        <w:t>5.1. Ung thư ở con</w:t>
      </w:r>
    </w:p>
    <w:p>
      <w:r>
        <w:t>Song 2025 systematic review + meta-analysis (JMIR Cancer, PMID 40072918) đánh giá nguy cơ ung thư trẻ em ở con của bệnh nhân ART:</w:t>
      </w:r>
    </w:p>
    <w:p>
      <w:pPr>
        <w:pStyle w:val="ListBullet"/>
      </w:pPr>
      <w:r>
        <w:t xml:space="preserve">Phân tích pool các cohort lớn, </w:t>
      </w:r>
      <w:r>
        <w:rPr>
          <w:b/>
        </w:rPr>
        <w:t>đã kiểm soát yếu tố vô sinh nền</w:t>
      </w:r>
      <w:r>
        <w:t xml:space="preserve"> (đây là điểm mới so với meta trước).</w:t>
      </w:r>
    </w:p>
    <w:p>
      <w:pPr>
        <w:pStyle w:val="ListBullet"/>
      </w:pPr>
      <w:r>
        <w:t xml:space="preserve">Phát hiện tỉ lệ ung thư trẻ em có </w:t>
      </w:r>
      <w:r>
        <w:rPr>
          <w:b/>
        </w:rPr>
        <w:t>mối liên quan</w:t>
      </w:r>
      <w:r>
        <w:t xml:space="preserve"> với ART, đặc biệt ở nhóm phôi đông lạnh và nhóm con sinh non.</w:t>
      </w:r>
    </w:p>
    <w:p>
      <w:pPr>
        <w:pStyle w:val="ListBullet"/>
      </w:pPr>
      <w:r>
        <w:t>Cơ chế đề xuất: epigenetic dysregulation trong giai đoạn nuôi cấy phôi, hormone exposure, hoặc do bản thân vô sinh.</w:t>
      </w:r>
    </w:p>
    <w:p>
      <w:pPr>
        <w:pStyle w:val="Heading2"/>
      </w:pPr>
      <w:r>
        <w:t>5.2. Ung thư ở mẹ</w:t>
      </w:r>
    </w:p>
    <w:p>
      <w:pPr>
        <w:pStyle w:val="ListBullet"/>
      </w:pPr>
      <w:r>
        <w:rPr>
          <w:b/>
        </w:rPr>
        <w:t>Ung thư buồng trứng</w:t>
      </w:r>
      <w:r>
        <w:t>: nhiều nghiên cứu lớn không tăng rõ ràng sau khi kiểm soát yếu tố vô sinh nền (Brinton 2013, Williams 2018).</w:t>
      </w:r>
    </w:p>
    <w:p>
      <w:pPr>
        <w:pStyle w:val="ListBullet"/>
      </w:pPr>
      <w:r>
        <w:rPr>
          <w:b/>
        </w:rPr>
        <w:t>Ung thư vú</w:t>
      </w:r>
      <w:r>
        <w:t>: phần lớn nghiên cứu không tăng (Stewart 2012, ASRM 2020).</w:t>
      </w:r>
    </w:p>
    <w:p>
      <w:pPr>
        <w:pStyle w:val="ListBullet"/>
      </w:pPr>
      <w:r>
        <w:rPr>
          <w:b/>
        </w:rPr>
        <w:t>Ung thư nội mạc tử cung</w:t>
      </w:r>
      <w:r>
        <w:t>: tăng nhẹ trong một số cohort, cần theo dõi dài hạn.</w:t>
      </w:r>
    </w:p>
    <w:p>
      <w:pPr>
        <w:pStyle w:val="ListBullet"/>
      </w:pPr>
      <w:r>
        <w:rPr>
          <w:b/>
        </w:rPr>
        <w:t>Ung thư đại trực tràng, melanoma, tuyến giáp</w:t>
      </w:r>
      <w:r>
        <w:t>: dữ liệu hạn chế, chưa kết luận.</w:t>
      </w:r>
    </w:p>
    <w:p>
      <w:r>
        <w:rPr>
          <w:b/>
        </w:rPr>
        <w:t>Thông điệp thực hành</w:t>
      </w:r>
      <w:r>
        <w:t>: Bệnh nhân ART nên tuân thủ sàng lọc ung thư theo hướng dẫn chung của dân số; không cần sàng lọc đặc biệt vì ART.</w:t>
      </w:r>
    </w:p>
    <w:p/>
    <w:p>
      <w:pPr>
        <w:pStyle w:val="Heading1"/>
      </w:pPr>
      <w:r>
        <w:t>6. CÁC BIẾN CHỨNG ÍT GẶP NHƯNG QUAN TRỌNG</w:t>
      </w:r>
    </w:p>
    <w:p>
      <w:pPr>
        <w:pStyle w:val="Heading2"/>
      </w:pPr>
      <w:r>
        <w:t>6.1. Xuất huyết và nhiễm trùng sau chọc hút trứng</w:t>
      </w:r>
    </w:p>
    <w:p>
      <w:pPr>
        <w:pStyle w:val="ListBullet"/>
      </w:pPr>
      <w:r>
        <w:t>Tỉ lệ xuất huyết nặng: &lt; 0.1% (hiếm gặp).</w:t>
      </w:r>
    </w:p>
    <w:p>
      <w:pPr>
        <w:pStyle w:val="ListBullet"/>
      </w:pPr>
      <w:r>
        <w:t>Tỉ lệ nhiễm trùng vùng chậu sau pick-up: &lt; 0.5% (Kroon 2011).</w:t>
      </w:r>
    </w:p>
    <w:p>
      <w:pPr>
        <w:pStyle w:val="ListBullet"/>
      </w:pPr>
      <w:r>
        <w:t>Phòng ngừa: kháng sinh dự phòng không khuyến cáo thường quy (Cochrane 2023, PMID 37994721), kỹ thuật vô trùng, theo dõi sau thủ thuật 1–2 giờ.</w:t>
      </w:r>
    </w:p>
    <w:p>
      <w:pPr>
        <w:pStyle w:val="Heading2"/>
      </w:pPr>
      <w:r>
        <w:t>6.2. Xoắn buồng trứng (Ovarian Torsion)</w:t>
      </w:r>
    </w:p>
    <w:p>
      <w:pPr>
        <w:pStyle w:val="ListBullet"/>
      </w:pPr>
      <w:r>
        <w:t>Tỉ lệ: ~0.1% (hiếm).</w:t>
      </w:r>
    </w:p>
    <w:p>
      <w:pPr>
        <w:pStyle w:val="ListBullet"/>
      </w:pPr>
      <w:r>
        <w:t>Yếu tố nguy cơ: buồng trứng to &gt; 6–8 cm sau kích thích, OHSS.</w:t>
      </w:r>
    </w:p>
    <w:p>
      <w:pPr>
        <w:pStyle w:val="ListBullet"/>
      </w:pPr>
      <w:r>
        <w:t>Chẩn đoán: đau bụng cấp, siêu âm Doppler buồng trứng (giảm hoặc mất dòng chảy).</w:t>
      </w:r>
    </w:p>
    <w:p>
      <w:pPr>
        <w:pStyle w:val="ListBullet"/>
      </w:pPr>
      <w:r>
        <w:t xml:space="preserve">Xử trí: </w:t>
      </w:r>
      <w:r>
        <w:rPr>
          <w:b/>
        </w:rPr>
        <w:t>phẫu thuật nội soi cấp cứu</w:t>
      </w:r>
      <w:r>
        <w:t xml:space="preserve"> (untwisting, không cắt buồng trứng).</w:t>
      </w:r>
    </w:p>
    <w:p>
      <w:pPr>
        <w:pStyle w:val="Heading2"/>
      </w:pPr>
      <w:r>
        <w:t>6.3. Huyết khối tĩnh mạch</w:t>
      </w:r>
    </w:p>
    <w:p>
      <w:pPr>
        <w:pStyle w:val="ListBullet"/>
      </w:pPr>
      <w:r>
        <w:t>Liên quan OHSS nặng hoặc thai kỳ ART (đặc biệt đa thai).</w:t>
      </w:r>
    </w:p>
    <w:p>
      <w:pPr>
        <w:pStyle w:val="ListBullet"/>
      </w:pPr>
      <w:r>
        <w:t>Tỉ lệ: 0.1–0.3% ở OHSS nặng (ASRM 2016 - PMID 27678032).</w:t>
      </w:r>
    </w:p>
    <w:p>
      <w:pPr>
        <w:pStyle w:val="ListBullet"/>
      </w:pPr>
      <w:r>
        <w:t>Dự phòng: LMWH khi Hct &gt; 45% hoặc bất động.</w:t>
      </w:r>
    </w:p>
    <w:p>
      <w:pPr>
        <w:pStyle w:val="Heading2"/>
      </w:pPr>
      <w:r>
        <w:t>6.4. Tụ máu dưới màng đệm (Subchorionic Hematoma)</w:t>
      </w:r>
    </w:p>
    <w:p>
      <w:r>
        <w:t xml:space="preserve">Shi 2024 (PMID 39026123) cho thấy tụ máu dưới màng đệm ở ART singleton </w:t>
      </w:r>
      <w:r>
        <w:rPr>
          <w:b/>
        </w:rPr>
        <w:t>tăng nhẹ</w:t>
      </w:r>
      <w:r>
        <w:t xml:space="preserve"> tỉ lệ sẩy thai và sinh non so với ART không có tụ máu. Cần theo dõi sát và giải thích cho bệnh nhân.</w:t>
      </w:r>
    </w:p>
    <w:p/>
    <w:p>
      <w:pPr>
        <w:pStyle w:val="Heading1"/>
      </w:pPr>
      <w:r>
        <w:t>7. TỔNG HỢP: PHÒNG NGỪA BIẾN CHỨNG ART</w:t>
      </w:r>
    </w:p>
    <w:p>
      <w:pPr>
        <w:pStyle w:val="Heading2"/>
      </w:pPr>
      <w:r>
        <w:t>7.1. Trước chu kỳ</w:t>
      </w:r>
    </w:p>
    <w:p>
      <w:pPr>
        <w:pStyle w:val="ListBullet"/>
      </w:pPr>
      <w:r>
        <w:rPr>
          <w:b/>
        </w:rPr>
        <w:t>Tư vấn đầy đủ</w:t>
      </w:r>
      <w:r>
        <w:t>: rủi ro, tỉ lệ thành công, biến chứng (đặc biệt đa thai, OHSS ở nhóm nguy cơ cao).</w:t>
      </w:r>
    </w:p>
    <w:p>
      <w:pPr>
        <w:pStyle w:val="ListBullet"/>
      </w:pPr>
      <w:r>
        <w:rPr>
          <w:b/>
        </w:rPr>
        <w:t>Đánh giá dự trữ buồng trứng</w:t>
      </w:r>
      <w:r>
        <w:t xml:space="preserve"> (AMH, AFC) → chọn phác đồ phù hợp.</w:t>
      </w:r>
    </w:p>
    <w:p>
      <w:pPr>
        <w:pStyle w:val="ListBullet"/>
      </w:pPr>
      <w:r>
        <w:rPr>
          <w:b/>
        </w:rPr>
        <w:t>Tư vấn di truyền</w:t>
      </w:r>
      <w:r>
        <w:t xml:space="preserve"> nếu có chỉ định PGT-M.</w:t>
      </w:r>
    </w:p>
    <w:p>
      <w:pPr>
        <w:pStyle w:val="Heading2"/>
      </w:pPr>
      <w:r>
        <w:t>7.2. Trong chu kỳ</w:t>
      </w:r>
    </w:p>
    <w:p>
      <w:pPr>
        <w:pStyle w:val="ListBullet"/>
      </w:pPr>
      <w:r>
        <w:rPr>
          <w:b/>
        </w:rPr>
        <w:t>Chọn phác đồ</w:t>
      </w:r>
      <w:r>
        <w:t xml:space="preserve"> theo dự trữ + nguy cơ (antagonist + agonist trigger cho high responder).</w:t>
      </w:r>
    </w:p>
    <w:p>
      <w:pPr>
        <w:pStyle w:val="ListBullet"/>
      </w:pPr>
      <w:r>
        <w:rPr>
          <w:b/>
        </w:rPr>
        <w:t>Theo dõi sát</w:t>
      </w:r>
      <w:r>
        <w:t xml:space="preserve"> E2, nang, nội mạc tử cung.</w:t>
      </w:r>
    </w:p>
    <w:p>
      <w:pPr>
        <w:pStyle w:val="ListBullet"/>
      </w:pPr>
      <w:r>
        <w:rPr>
          <w:b/>
        </w:rPr>
        <w:t>Cabergoline</w:t>
      </w:r>
      <w:r>
        <w:t xml:space="preserve"> dự phòng OHSS cho nhóm nguy cơ.</w:t>
      </w:r>
    </w:p>
    <w:p>
      <w:pPr>
        <w:pStyle w:val="ListBullet"/>
      </w:pPr>
      <w:r>
        <w:rPr>
          <w:b/>
        </w:rPr>
        <w:t>Giới hạn số phôi chuyển</w:t>
      </w:r>
      <w:r>
        <w:t xml:space="preserve"> theo ASRM 2021 (PMID 34330423).</w:t>
      </w:r>
    </w:p>
    <w:p>
      <w:pPr>
        <w:pStyle w:val="ListBullet"/>
      </w:pPr>
      <w:r>
        <w:rPr>
          <w:b/>
        </w:rPr>
        <w:t>eSET</w:t>
      </w:r>
      <w:r>
        <w:t xml:space="preserve"> + PGT-A cho bệnh nhân trẻ, blastocyst tốt.</w:t>
      </w:r>
    </w:p>
    <w:p>
      <w:pPr>
        <w:pStyle w:val="ListBullet"/>
      </w:pPr>
      <w:r>
        <w:rPr>
          <w:b/>
        </w:rPr>
        <w:t>FET an toàn hơn</w:t>
      </w:r>
      <w:r>
        <w:t xml:space="preserve"> fresh ở một số chỉ định (tránh OHSS, giảm tiền sản giật).</w:t>
      </w:r>
    </w:p>
    <w:p>
      <w:pPr>
        <w:pStyle w:val="Heading2"/>
      </w:pPr>
      <w:r>
        <w:t>7.3. Sau chuyển phôi</w:t>
      </w:r>
    </w:p>
    <w:p>
      <w:pPr>
        <w:pStyle w:val="ListBullet"/>
      </w:pPr>
      <w:r>
        <w:rPr>
          <w:b/>
        </w:rPr>
        <w:t>Theo dõi β-hCG</w:t>
      </w:r>
      <w:r>
        <w:t>, siêu âm sớm (4–5 tuần) để xác định vị trí làm tổ, loại trừ thai ngoài tử cung.</w:t>
      </w:r>
    </w:p>
    <w:p>
      <w:pPr>
        <w:pStyle w:val="ListBullet"/>
      </w:pPr>
      <w:r>
        <w:rPr>
          <w:b/>
        </w:rPr>
        <w:t>Tư vấn dấu hiệu báo động</w:t>
      </w:r>
      <w:r>
        <w:t>: đau bụng nặng, chảy máu, khó thở, phù → khám ngay.</w:t>
      </w:r>
    </w:p>
    <w:p>
      <w:pPr>
        <w:pStyle w:val="ListBullet"/>
      </w:pPr>
      <w:r>
        <w:rPr>
          <w:b/>
        </w:rPr>
        <w:t>Sàng lọc tiền sản giật quý 1</w:t>
      </w:r>
      <w:r>
        <w:t xml:space="preserve"> (combined test) cho mọi bệnh nhân ART.</w:t>
      </w:r>
    </w:p>
    <w:p>
      <w:pPr>
        <w:pStyle w:val="ListBullet"/>
      </w:pPr>
      <w:r>
        <w:rPr>
          <w:b/>
        </w:rPr>
        <w:t>Tư vấn chế độ ăn, sống lành mạnh</w:t>
      </w:r>
      <w:r>
        <w:t xml:space="preserve"> trước và trong thai kỳ.</w:t>
      </w:r>
    </w:p>
    <w:p/>
    <w:p>
      <w:pPr>
        <w:pStyle w:val="Heading1"/>
      </w:pPr>
      <w:r>
        <w:t>8. BẢNG TÓM TẮT CÁC BIẾN CHỨNG CHÍNH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Tỉ lệ</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Yếu tố nguy cơ chính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Phòng ngừa chính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Cấp cứu?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nhẹ</w:t>
            </w:r>
          </w:p>
        </w:tc>
        <w:tc>
          <w:tcPr>
            <w:tcW w:type="dxa" w:w="1728"/>
            <w:tcBorders>
              <w:top w:val="single" w:sz="4" w:color="000000"/>
              <w:left w:val="single" w:sz="4" w:color="000000"/>
              <w:bottom w:val="single" w:sz="4" w:color="000000"/>
              <w:right w:val="single" w:sz="4" w:color="000000"/>
            </w:tcBorders>
          </w:tcPr>
          <w:p>
            <w:r/>
            <w:r>
              <w:t>20–33%</w:t>
            </w:r>
          </w:p>
        </w:tc>
        <w:tc>
          <w:tcPr>
            <w:tcW w:type="dxa" w:w="1728"/>
            <w:tcBorders>
              <w:top w:val="single" w:sz="4" w:color="000000"/>
              <w:left w:val="single" w:sz="4" w:color="000000"/>
              <w:bottom w:val="single" w:sz="4" w:color="000000"/>
              <w:right w:val="single" w:sz="4" w:color="000000"/>
            </w:tcBorders>
          </w:tcPr>
          <w:p>
            <w:r/>
            <w:r>
              <w:t>High responder, PCOS, AMH cao</w:t>
            </w:r>
          </w:p>
        </w:tc>
        <w:tc>
          <w:tcPr>
            <w:tcW w:type="dxa" w:w="1728"/>
            <w:tcBorders>
              <w:top w:val="single" w:sz="4" w:color="000000"/>
              <w:left w:val="single" w:sz="4" w:color="000000"/>
              <w:bottom w:val="single" w:sz="4" w:color="000000"/>
              <w:right w:val="single" w:sz="4" w:color="000000"/>
            </w:tcBorders>
          </w:tcPr>
          <w:p>
            <w:r/>
            <w:r>
              <w:t>Antagonist, agonist trigger, cabergoline</w:t>
            </w:r>
          </w:p>
        </w:tc>
        <w:tc>
          <w:tcPr>
            <w:tcW w:type="dxa" w:w="1728"/>
            <w:tcBorders>
              <w:top w:val="single" w:sz="4" w:color="000000"/>
              <w:left w:val="single" w:sz="4" w:color="000000"/>
              <w:bottom w:val="single" w:sz="4" w:color="000000"/>
              <w:right w:val="single" w:sz="4" w:color="000000"/>
            </w:tcBorders>
          </w:tcPr>
          <w:p>
            <w:r/>
            <w:r>
              <w:t>Không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nặng</w:t>
            </w:r>
          </w:p>
        </w:tc>
        <w:tc>
          <w:tcPr>
            <w:tcW w:type="dxa" w:w="1728"/>
            <w:tcBorders>
              <w:top w:val="single" w:sz="4" w:color="000000"/>
              <w:left w:val="single" w:sz="4" w:color="000000"/>
              <w:bottom w:val="single" w:sz="4" w:color="000000"/>
              <w:right w:val="single" w:sz="4" w:color="000000"/>
            </w:tcBorders>
          </w:tcPr>
          <w:p>
            <w:r/>
            <w:r>
              <w:t>0.5–2%</w:t>
            </w:r>
          </w:p>
        </w:tc>
        <w:tc>
          <w:tcPr>
            <w:tcW w:type="dxa" w:w="1728"/>
            <w:tcBorders>
              <w:top w:val="single" w:sz="4" w:color="000000"/>
              <w:left w:val="single" w:sz="4" w:color="000000"/>
              <w:bottom w:val="single" w:sz="4" w:color="000000"/>
              <w:right w:val="single" w:sz="4" w:color="000000"/>
            </w:tcBorders>
          </w:tcPr>
          <w:p>
            <w:r/>
            <w:r>
              <w:t>Như trên + hCG trigger</w:t>
            </w:r>
          </w:p>
        </w:tc>
        <w:tc>
          <w:tcPr>
            <w:tcW w:type="dxa" w:w="1728"/>
            <w:tcBorders>
              <w:top w:val="single" w:sz="4" w:color="000000"/>
              <w:left w:val="single" w:sz="4" w:color="000000"/>
              <w:bottom w:val="single" w:sz="4" w:color="000000"/>
              <w:right w:val="single" w:sz="4" w:color="000000"/>
            </w:tcBorders>
          </w:tcPr>
          <w:p>
            <w:r/>
            <w:r>
              <w:t>GnRH agonist trigger, freeze-all</w:t>
            </w:r>
          </w:p>
        </w:tc>
        <w:tc>
          <w:tcPr>
            <w:tcW w:type="dxa" w:w="1728"/>
            <w:tcBorders>
              <w:top w:val="single" w:sz="4" w:color="000000"/>
              <w:left w:val="single" w:sz="4" w:color="000000"/>
              <w:bottom w:val="single" w:sz="4" w:color="000000"/>
              <w:right w:val="single" w:sz="4" w:color="000000"/>
            </w:tcBorders>
          </w:tcPr>
          <w:p>
            <w:r/>
            <w:r>
              <w:rPr>
                <w:b/>
              </w:rPr>
              <w:t>Có</w:t>
            </w:r>
            <w:r>
              <w:t xml:space="preserve"> (nhập viện)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thai (song thai)</w:t>
            </w:r>
          </w:p>
        </w:tc>
        <w:tc>
          <w:tcPr>
            <w:tcW w:type="dxa" w:w="1728"/>
            <w:tcBorders>
              <w:top w:val="single" w:sz="4" w:color="000000"/>
              <w:left w:val="single" w:sz="4" w:color="000000"/>
              <w:bottom w:val="single" w:sz="4" w:color="000000"/>
              <w:right w:val="single" w:sz="4" w:color="000000"/>
            </w:tcBorders>
          </w:tcPr>
          <w:p>
            <w:r/>
            <w:r>
              <w:t>6–7% ART</w:t>
            </w:r>
          </w:p>
        </w:tc>
        <w:tc>
          <w:tcPr>
            <w:tcW w:type="dxa" w:w="1728"/>
            <w:tcBorders>
              <w:top w:val="single" w:sz="4" w:color="000000"/>
              <w:left w:val="single" w:sz="4" w:color="000000"/>
              <w:bottom w:val="single" w:sz="4" w:color="000000"/>
              <w:right w:val="single" w:sz="4" w:color="000000"/>
            </w:tcBorders>
          </w:tcPr>
          <w:p>
            <w:r/>
            <w:r>
              <w:t>Chuyển &gt; 1 phôi, không eSET</w:t>
            </w:r>
          </w:p>
        </w:tc>
        <w:tc>
          <w:tcPr>
            <w:tcW w:type="dxa" w:w="1728"/>
            <w:tcBorders>
              <w:top w:val="single" w:sz="4" w:color="000000"/>
              <w:left w:val="single" w:sz="4" w:color="000000"/>
              <w:bottom w:val="single" w:sz="4" w:color="000000"/>
              <w:right w:val="single" w:sz="4" w:color="000000"/>
            </w:tcBorders>
          </w:tcPr>
          <w:p>
            <w:r/>
            <w:r>
              <w:t>eSET, giới hạn phôi chuyển</w:t>
            </w:r>
          </w:p>
        </w:tc>
        <w:tc>
          <w:tcPr>
            <w:tcW w:type="dxa" w:w="1728"/>
            <w:tcBorders>
              <w:top w:val="single" w:sz="4" w:color="000000"/>
              <w:left w:val="single" w:sz="4" w:color="000000"/>
              <w:bottom w:val="single" w:sz="4" w:color="000000"/>
              <w:right w:val="single" w:sz="4" w:color="000000"/>
            </w:tcBorders>
          </w:tcPr>
          <w:p>
            <w:r/>
            <w:r>
              <w:t>Không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thai (≥3)</w:t>
            </w:r>
          </w:p>
        </w:tc>
        <w:tc>
          <w:tcPr>
            <w:tcW w:type="dxa" w:w="1728"/>
            <w:tcBorders>
              <w:top w:val="single" w:sz="4" w:color="000000"/>
              <w:left w:val="single" w:sz="4" w:color="000000"/>
              <w:bottom w:val="single" w:sz="4" w:color="000000"/>
              <w:right w:val="single" w:sz="4" w:color="000000"/>
            </w:tcBorders>
          </w:tcPr>
          <w:p>
            <w:r/>
            <w:r>
              <w:t>&lt; 0.5% ART</w:t>
            </w:r>
          </w:p>
        </w:tc>
        <w:tc>
          <w:tcPr>
            <w:tcW w:type="dxa" w:w="1728"/>
            <w:tcBorders>
              <w:top w:val="single" w:sz="4" w:color="000000"/>
              <w:left w:val="single" w:sz="4" w:color="000000"/>
              <w:bottom w:val="single" w:sz="4" w:color="000000"/>
              <w:right w:val="single" w:sz="4" w:color="000000"/>
            </w:tcBorders>
          </w:tcPr>
          <w:p>
            <w:r/>
            <w:r>
              <w:t>Như trên</w:t>
            </w:r>
          </w:p>
        </w:tc>
        <w:tc>
          <w:tcPr>
            <w:tcW w:type="dxa" w:w="1728"/>
            <w:tcBorders>
              <w:top w:val="single" w:sz="4" w:color="000000"/>
              <w:left w:val="single" w:sz="4" w:color="000000"/>
              <w:bottom w:val="single" w:sz="4" w:color="000000"/>
              <w:right w:val="single" w:sz="4" w:color="000000"/>
            </w:tcBorders>
          </w:tcPr>
          <w:p>
            <w:r/>
            <w:r>
              <w:t>Như trên</w:t>
            </w:r>
          </w:p>
        </w:tc>
        <w:tc>
          <w:tcPr>
            <w:tcW w:type="dxa" w:w="1728"/>
            <w:tcBorders>
              <w:top w:val="single" w:sz="4" w:color="000000"/>
              <w:left w:val="single" w:sz="4" w:color="000000"/>
              <w:bottom w:val="single" w:sz="4" w:color="000000"/>
              <w:right w:val="single" w:sz="4" w:color="000000"/>
            </w:tcBorders>
          </w:tcPr>
          <w:p>
            <w:r/>
            <w:r>
              <w:t>MFPR cân nhắc</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ngoài tử cung</w:t>
            </w:r>
          </w:p>
        </w:tc>
        <w:tc>
          <w:tcPr>
            <w:tcW w:type="dxa" w:w="1728"/>
            <w:tcBorders>
              <w:top w:val="single" w:sz="4" w:color="000000"/>
              <w:left w:val="single" w:sz="4" w:color="000000"/>
              <w:bottom w:val="single" w:sz="4" w:color="000000"/>
              <w:right w:val="single" w:sz="4" w:color="000000"/>
            </w:tcBorders>
          </w:tcPr>
          <w:p>
            <w:r/>
            <w:r>
              <w:t>1–2% ART</w:t>
            </w:r>
          </w:p>
        </w:tc>
        <w:tc>
          <w:tcPr>
            <w:tcW w:type="dxa" w:w="1728"/>
            <w:tcBorders>
              <w:top w:val="single" w:sz="4" w:color="000000"/>
              <w:left w:val="single" w:sz="4" w:color="000000"/>
              <w:bottom w:val="single" w:sz="4" w:color="000000"/>
              <w:right w:val="single" w:sz="4" w:color="000000"/>
            </w:tcBorders>
          </w:tcPr>
          <w:p>
            <w:r/>
            <w:r>
              <w:t>Tiền sử EP, tổn thương vòi</w:t>
            </w:r>
          </w:p>
        </w:tc>
        <w:tc>
          <w:tcPr>
            <w:tcW w:type="dxa" w:w="1728"/>
            <w:tcBorders>
              <w:top w:val="single" w:sz="4" w:color="000000"/>
              <w:left w:val="single" w:sz="4" w:color="000000"/>
              <w:bottom w:val="single" w:sz="4" w:color="000000"/>
              <w:right w:val="single" w:sz="4" w:color="000000"/>
            </w:tcBorders>
          </w:tcPr>
          <w:p>
            <w:r/>
            <w:r>
              <w:t>Kỹ thuật chuyển phôi</w:t>
            </w:r>
          </w:p>
        </w:tc>
        <w:tc>
          <w:tcPr>
            <w:tcW w:type="dxa" w:w="1728"/>
            <w:tcBorders>
              <w:top w:val="single" w:sz="4" w:color="000000"/>
              <w:left w:val="single" w:sz="4" w:color="000000"/>
              <w:bottom w:val="single" w:sz="4" w:color="000000"/>
              <w:right w:val="single" w:sz="4" w:color="000000"/>
            </w:tcBorders>
          </w:tcPr>
          <w:p>
            <w:r/>
            <w:r>
              <w:rPr>
                <w:b/>
              </w:rPr>
              <w:t>Có</w:t>
            </w:r>
            <w:r>
              <w:t xml:space="preserve"> (vỡ)</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Heterotopic pregnancy</w:t>
            </w:r>
          </w:p>
        </w:tc>
        <w:tc>
          <w:tcPr>
            <w:tcW w:type="dxa" w:w="1728"/>
            <w:tcBorders>
              <w:top w:val="single" w:sz="4" w:color="000000"/>
              <w:left w:val="single" w:sz="4" w:color="000000"/>
              <w:bottom w:val="single" w:sz="4" w:color="000000"/>
              <w:right w:val="single" w:sz="4" w:color="000000"/>
            </w:tcBorders>
          </w:tcPr>
          <w:p>
            <w:r/>
            <w:r>
              <w:t>1/100–500 ART</w:t>
            </w:r>
          </w:p>
        </w:tc>
        <w:tc>
          <w:tcPr>
            <w:tcW w:type="dxa" w:w="1728"/>
            <w:tcBorders>
              <w:top w:val="single" w:sz="4" w:color="000000"/>
              <w:left w:val="single" w:sz="4" w:color="000000"/>
              <w:bottom w:val="single" w:sz="4" w:color="000000"/>
              <w:right w:val="single" w:sz="4" w:color="000000"/>
            </w:tcBorders>
          </w:tcPr>
          <w:p>
            <w:r/>
            <w:r>
              <w:t>Chuyển nhiều phôi, thể tích lớn</w:t>
            </w:r>
          </w:p>
        </w:tc>
        <w:tc>
          <w:tcPr>
            <w:tcW w:type="dxa" w:w="1728"/>
            <w:tcBorders>
              <w:top w:val="single" w:sz="4" w:color="000000"/>
              <w:left w:val="single" w:sz="4" w:color="000000"/>
              <w:bottom w:val="single" w:sz="4" w:color="000000"/>
              <w:right w:val="single" w:sz="4" w:color="000000"/>
            </w:tcBorders>
          </w:tcPr>
          <w:p>
            <w:r/>
            <w:r>
              <w:t>Chuyển phôi dưới siêu âm, thể tích nhỏ</w:t>
            </w:r>
          </w:p>
        </w:tc>
        <w:tc>
          <w:tcPr>
            <w:tcW w:type="dxa" w:w="1728"/>
            <w:tcBorders>
              <w:top w:val="single" w:sz="4" w:color="000000"/>
              <w:left w:val="single" w:sz="4" w:color="000000"/>
              <w:bottom w:val="single" w:sz="4" w:color="000000"/>
              <w:right w:val="single" w:sz="4" w:color="000000"/>
            </w:tcBorders>
          </w:tcPr>
          <w:p>
            <w:r/>
            <w:r>
              <w:rPr>
                <w:b/>
              </w:rPr>
              <w:t>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Sinh non (singleton ART)</w:t>
            </w:r>
          </w:p>
        </w:tc>
        <w:tc>
          <w:tcPr>
            <w:tcW w:type="dxa" w:w="1728"/>
            <w:tcBorders>
              <w:top w:val="single" w:sz="4" w:color="000000"/>
              <w:left w:val="single" w:sz="4" w:color="000000"/>
              <w:bottom w:val="single" w:sz="4" w:color="000000"/>
              <w:right w:val="single" w:sz="4" w:color="000000"/>
            </w:tcBorders>
          </w:tcPr>
          <w:p>
            <w:r/>
            <w:r>
              <w:t>~10–15%</w:t>
            </w:r>
          </w:p>
        </w:tc>
        <w:tc>
          <w:tcPr>
            <w:tcW w:type="dxa" w:w="1728"/>
            <w:tcBorders>
              <w:top w:val="single" w:sz="4" w:color="000000"/>
              <w:left w:val="single" w:sz="4" w:color="000000"/>
              <w:bottom w:val="single" w:sz="4" w:color="000000"/>
              <w:right w:val="single" w:sz="4" w:color="000000"/>
            </w:tcBorders>
          </w:tcPr>
          <w:p>
            <w:r/>
            <w:r>
              <w:t>ART technique, vô sinh nền</w:t>
            </w:r>
          </w:p>
        </w:tc>
        <w:tc>
          <w:tcPr>
            <w:tcW w:type="dxa" w:w="1728"/>
            <w:tcBorders>
              <w:top w:val="single" w:sz="4" w:color="000000"/>
              <w:left w:val="single" w:sz="4" w:color="000000"/>
              <w:bottom w:val="single" w:sz="4" w:color="000000"/>
              <w:right w:val="single" w:sz="4" w:color="000000"/>
            </w:tcBorders>
          </w:tcPr>
          <w:p>
            <w:r/>
            <w:r>
              <w:t>FET, single blastocyst</w:t>
            </w:r>
          </w:p>
        </w:tc>
        <w:tc>
          <w:tcPr>
            <w:tcW w:type="dxa" w:w="1728"/>
            <w:tcBorders>
              <w:top w:val="single" w:sz="4" w:color="000000"/>
              <w:left w:val="single" w:sz="4" w:color="000000"/>
              <w:bottom w:val="single" w:sz="4" w:color="000000"/>
              <w:right w:val="single" w:sz="4" w:color="000000"/>
            </w:tcBorders>
          </w:tcPr>
          <w:p>
            <w:r/>
            <w:r>
              <w:t>Tùy tuổi thai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sản giật</w:t>
            </w:r>
          </w:p>
        </w:tc>
        <w:tc>
          <w:tcPr>
            <w:tcW w:type="dxa" w:w="1728"/>
            <w:tcBorders>
              <w:top w:val="single" w:sz="4" w:color="000000"/>
              <w:left w:val="single" w:sz="4" w:color="000000"/>
              <w:bottom w:val="single" w:sz="4" w:color="000000"/>
              <w:right w:val="single" w:sz="4" w:color="000000"/>
            </w:tcBorders>
          </w:tcPr>
          <w:p>
            <w:r/>
            <w:r>
              <w:t>8–12% ART</w:t>
            </w:r>
          </w:p>
        </w:tc>
        <w:tc>
          <w:tcPr>
            <w:tcW w:type="dxa" w:w="1728"/>
            <w:tcBorders>
              <w:top w:val="single" w:sz="4" w:color="000000"/>
              <w:left w:val="single" w:sz="4" w:color="000000"/>
              <w:bottom w:val="single" w:sz="4" w:color="000000"/>
              <w:right w:val="single" w:sz="4" w:color="000000"/>
            </w:tcBorders>
          </w:tcPr>
          <w:p>
            <w:r/>
            <w:r>
              <w:t>PCOS, đa thai, BMI cao</w:t>
            </w:r>
          </w:p>
        </w:tc>
        <w:tc>
          <w:tcPr>
            <w:tcW w:type="dxa" w:w="1728"/>
            <w:tcBorders>
              <w:top w:val="single" w:sz="4" w:color="000000"/>
              <w:left w:val="single" w:sz="4" w:color="000000"/>
              <w:bottom w:val="single" w:sz="4" w:color="000000"/>
              <w:right w:val="single" w:sz="4" w:color="000000"/>
            </w:tcBorders>
          </w:tcPr>
          <w:p>
            <w:r/>
            <w:r>
              <w:t>Aspirin 81–150 mg, canxi</w:t>
            </w:r>
          </w:p>
        </w:tc>
        <w:tc>
          <w:tcPr>
            <w:tcW w:type="dxa" w:w="1728"/>
            <w:tcBorders>
              <w:top w:val="single" w:sz="4" w:color="000000"/>
              <w:left w:val="single" w:sz="4" w:color="000000"/>
              <w:bottom w:val="single" w:sz="4" w:color="000000"/>
              <w:right w:val="single" w:sz="4" w:color="000000"/>
            </w:tcBorders>
          </w:tcPr>
          <w:p>
            <w:r/>
            <w:r>
              <w:t>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Xoắn buồng trứng</w:t>
            </w:r>
          </w:p>
        </w:tc>
        <w:tc>
          <w:tcPr>
            <w:tcW w:type="dxa" w:w="1728"/>
            <w:tcBorders>
              <w:top w:val="single" w:sz="4" w:color="000000"/>
              <w:left w:val="single" w:sz="4" w:color="000000"/>
              <w:bottom w:val="single" w:sz="4" w:color="000000"/>
              <w:right w:val="single" w:sz="4" w:color="000000"/>
            </w:tcBorders>
          </w:tcPr>
          <w:p>
            <w:r/>
            <w:r>
              <w:t>0.1%</w:t>
            </w:r>
          </w:p>
        </w:tc>
        <w:tc>
          <w:tcPr>
            <w:tcW w:type="dxa" w:w="1728"/>
            <w:tcBorders>
              <w:top w:val="single" w:sz="4" w:color="000000"/>
              <w:left w:val="single" w:sz="4" w:color="000000"/>
              <w:bottom w:val="single" w:sz="4" w:color="000000"/>
              <w:right w:val="single" w:sz="4" w:color="000000"/>
            </w:tcBorders>
          </w:tcPr>
          <w:p>
            <w:r/>
            <w:r>
              <w:t>Buồng trứng &gt; 6–8 cm</w:t>
            </w:r>
          </w:p>
        </w:tc>
        <w:tc>
          <w:tcPr>
            <w:tcW w:type="dxa" w:w="1728"/>
            <w:tcBorders>
              <w:top w:val="single" w:sz="4" w:color="000000"/>
              <w:left w:val="single" w:sz="4" w:color="000000"/>
              <w:bottom w:val="single" w:sz="4" w:color="000000"/>
              <w:right w:val="single" w:sz="4" w:color="000000"/>
            </w:tcBorders>
          </w:tcPr>
          <w:p>
            <w:r/>
            <w:r>
              <w:t>Cảnh giác, tư vấn</w:t>
            </w:r>
          </w:p>
        </w:tc>
        <w:tc>
          <w:tcPr>
            <w:tcW w:type="dxa" w:w="1728"/>
            <w:tcBorders>
              <w:top w:val="single" w:sz="4" w:color="000000"/>
              <w:left w:val="single" w:sz="4" w:color="000000"/>
              <w:bottom w:val="single" w:sz="4" w:color="000000"/>
              <w:right w:val="single" w:sz="4" w:color="000000"/>
            </w:tcBorders>
          </w:tcPr>
          <w:p>
            <w:r/>
            <w:r>
              <w:rPr>
                <w:b/>
              </w:rPr>
              <w:t>Có</w:t>
            </w:r>
            <w:r>
              <w:t xml:space="preserve"> (cấp cứu)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Huyết khối (OHSS nặng)</w:t>
            </w:r>
          </w:p>
        </w:tc>
        <w:tc>
          <w:tcPr>
            <w:tcW w:type="dxa" w:w="1728"/>
            <w:tcBorders>
              <w:top w:val="single" w:sz="4" w:color="000000"/>
              <w:left w:val="single" w:sz="4" w:color="000000"/>
              <w:bottom w:val="single" w:sz="4" w:color="000000"/>
              <w:right w:val="single" w:sz="4" w:color="000000"/>
            </w:tcBorders>
          </w:tcPr>
          <w:p>
            <w:r/>
            <w:r>
              <w:t>0.1–0.3%</w:t>
            </w:r>
          </w:p>
        </w:tc>
        <w:tc>
          <w:tcPr>
            <w:tcW w:type="dxa" w:w="1728"/>
            <w:tcBorders>
              <w:top w:val="single" w:sz="4" w:color="000000"/>
              <w:left w:val="single" w:sz="4" w:color="000000"/>
              <w:bottom w:val="single" w:sz="4" w:color="000000"/>
              <w:right w:val="single" w:sz="4" w:color="000000"/>
            </w:tcBorders>
          </w:tcPr>
          <w:p>
            <w:r/>
            <w:r>
              <w:t>Hct &gt; 45%, bất động</w:t>
            </w:r>
          </w:p>
        </w:tc>
        <w:tc>
          <w:tcPr>
            <w:tcW w:type="dxa" w:w="1728"/>
            <w:tcBorders>
              <w:top w:val="single" w:sz="4" w:color="000000"/>
              <w:left w:val="single" w:sz="4" w:color="000000"/>
              <w:bottom w:val="single" w:sz="4" w:color="000000"/>
              <w:right w:val="single" w:sz="4" w:color="000000"/>
            </w:tcBorders>
          </w:tcPr>
          <w:p>
            <w:r/>
            <w:r>
              <w:t>LMWH dự phòng</w:t>
            </w:r>
          </w:p>
        </w:tc>
        <w:tc>
          <w:tcPr>
            <w:tcW w:type="dxa" w:w="1728"/>
            <w:tcBorders>
              <w:top w:val="single" w:sz="4" w:color="000000"/>
              <w:left w:val="single" w:sz="4" w:color="000000"/>
              <w:bottom w:val="single" w:sz="4" w:color="000000"/>
              <w:right w:val="single" w:sz="4" w:color="000000"/>
            </w:tcBorders>
          </w:tcPr>
          <w:p>
            <w:r/>
            <w:r>
              <w:rPr>
                <w:b/>
              </w:rPr>
              <w:t>Có</w:t>
            </w:r>
          </w:p>
        </w:tc>
      </w:tr>
    </w:tbl>
    <w:p/>
    <w:p>
      <w:pPr>
        <w:pStyle w:val="Heading1"/>
      </w:pPr>
      <w:r>
        <w:t>9. TÀI LIỆU THAM KHẢO (Đã verify abstract qua PubMed E-utilities)</w:t>
      </w:r>
    </w:p>
    <w:p>
      <w:pPr>
        <w:pStyle w:val="ListNumber"/>
      </w:pPr>
      <w:r>
        <w:rPr>
          <w:b/>
        </w:rPr>
        <w:t>Practice Committee of ASRM. Multiple gestation associated with infertility therapy: a committee opinion.</w:t>
      </w:r>
      <w:r>
        <w:t xml:space="preserve"> Fertil Steril 2022;117(3):498-511. PMID: 35115166. [Tier 0 - ASRM]</w:t>
      </w:r>
    </w:p>
    <w:p>
      <w:pPr>
        <w:pStyle w:val="ListNumber"/>
      </w:pPr>
      <w:r>
        <w:rPr>
          <w:b/>
        </w:rPr>
        <w:t>Practice Committee of ASRM. Guidance on the limits to the number of embryos to transfer: a committee opinion.</w:t>
      </w:r>
      <w:r>
        <w:t xml:space="preserve"> Fertil Steril 2021;116(3):651-654. PMID: 34330423. [Tier 0 - ASRM]</w:t>
      </w:r>
    </w:p>
    <w:p>
      <w:pPr>
        <w:pStyle w:val="ListNumber"/>
      </w:pPr>
      <w:r>
        <w:rPr>
          <w:b/>
        </w:rPr>
        <w:t>Practice Committee of ASRM. Prevention and treatment of moderate and severe ovarian hyperstimulation syndrome: a guideline.</w:t>
      </w:r>
      <w:r>
        <w:t xml:space="preserve"> Fertil Steril 2016;106(7):1634-1647. PMID: 27678032. [Tier 0 - ASRM]</w:t>
      </w:r>
    </w:p>
    <w:p>
      <w:pPr>
        <w:pStyle w:val="ListNumber"/>
      </w:pPr>
      <w:r>
        <w:rPr>
          <w:b/>
        </w:rPr>
        <w:t>ACOG Committee Opinion No. 719. Multifetal Pregnancy Reduction.</w:t>
      </w:r>
      <w:r>
        <w:t xml:space="preserve"> Obstet Gynecol 2017;130(3):e158-e163. PMID: 28832490. [Tier 0 - ACOG]</w:t>
      </w:r>
    </w:p>
    <w:p>
      <w:pPr>
        <w:pStyle w:val="ListNumber"/>
      </w:pPr>
      <w:r>
        <w:rPr>
          <w:b/>
        </w:rPr>
        <w:t>ACOG Practice Bulletin No. 231. Multifetal Gestations: Twin, Triplet, and Higher-Order Multifetal Pregnancies.</w:t>
      </w:r>
      <w:r>
        <w:t xml:space="preserve"> Obstet Gynecol 2021;137(6):e145-e162. PMID: 34011891. [Tier 0 - ACOG]</w:t>
      </w:r>
    </w:p>
    <w:p>
      <w:pPr>
        <w:pStyle w:val="ListNumber"/>
      </w:pPr>
      <w:r>
        <w:rPr>
          <w:b/>
        </w:rPr>
        <w:t>Criscione M, et al. Tubal Stump Ectopic Pregnancy After IVF-ET in Patients Who Underwent Salpingectomy or Adnexectomy: A Qualitative Systematic Review.</w:t>
      </w:r>
      <w:r>
        <w:t xml:space="preserve"> Medicina (Kaunas) 2025;62(1). PMID: 41597369. [Tier 1 - Medicina Kaunas IF ~2.6]</w:t>
      </w:r>
    </w:p>
    <w:p>
      <w:pPr>
        <w:pStyle w:val="ListNumber"/>
      </w:pPr>
      <w:r>
        <w:rPr>
          <w:b/>
        </w:rPr>
        <w:t>Song G, et al. Assisted Reproductive Technology and Risk of Childhood Cancer Among the Offspring of Parents With Infertility: Systematic Review and Meta-Analysis.</w:t>
      </w:r>
      <w:r>
        <w:t xml:space="preserve"> JMIR Cancer 2025;11:e65820. PMID: 40072918. [Tier 1 - JMIR Cancer IF ~3.8]</w:t>
      </w:r>
    </w:p>
    <w:p>
      <w:pPr>
        <w:pStyle w:val="ListNumber"/>
      </w:pPr>
      <w:r>
        <w:rPr>
          <w:b/>
        </w:rPr>
        <w:t>Haddadi M, et al. The association between endometrial thickness and ectopic pregnancy among women who underwent in vitro fertilization, systematic review and meta-analysis.</w:t>
      </w:r>
      <w:r>
        <w:t xml:space="preserve"> J Matern Fetal Neonatal Med 2026;39(1):2670736. PMID: 42219343. [Tier 2 - J Matern Fetal Neonatal Med IF ~1.7]</w:t>
      </w:r>
    </w:p>
    <w:p>
      <w:pPr>
        <w:pStyle w:val="ListNumber"/>
      </w:pPr>
      <w:r>
        <w:rPr>
          <w:b/>
        </w:rPr>
        <w:t>Ban M, et al. Association between maternal polycystic ovarian syndrome undergoing assisted reproductive technology and pregnancy complications and neonatal outcomes: a systematic review and meta-analysis.</w:t>
      </w:r>
      <w:r>
        <w:t xml:space="preserve"> J Ovarian Res 2024;17(1):6. PMID: 38184624. [Tier 1 - J Ovarian Res IF ~3.0]</w:t>
      </w:r>
    </w:p>
    <w:p>
      <w:pPr>
        <w:pStyle w:val="ListNumber"/>
      </w:pPr>
      <w:r>
        <w:rPr>
          <w:b/>
        </w:rPr>
        <w:t>Matsuzaki S, et al. Obstetric Characteristics and Outcomes of Gestational Carrier Pregnancies: A Systematic Review and Meta-Analysis.</w:t>
      </w:r>
      <w:r>
        <w:t xml:space="preserve"> JAMA Netw Open 2024;7(7):e2422634. PMID: 39042408. [Tier 1 - JAMA Netw Open IF ~13.0]</w:t>
      </w:r>
    </w:p>
    <w:p>
      <w:pPr>
        <w:pStyle w:val="ListNumber"/>
      </w:pPr>
      <w:r>
        <w:rPr>
          <w:b/>
        </w:rPr>
        <w:t>Zolfaroli I, et al. Impact of prolonged embryo storage on reproductive and neonatal outcomes: a systematic review and meta-analysis.</w:t>
      </w:r>
      <w:r>
        <w:t xml:space="preserve"> J Assist Reprod Genet 2024;41(10):2691-2700. PMID: 39425814. [Tier 1 - J Assist Reprod Genet IF ~3.1]</w:t>
      </w:r>
    </w:p>
    <w:p>
      <w:pPr>
        <w:pStyle w:val="ListNumber"/>
      </w:pPr>
      <w:r>
        <w:rPr>
          <w:b/>
        </w:rPr>
        <w:t>Shi J, et al. Association between subchorionic hematoma in the first trimester and outcomes of singleton pregnancies achieved through assisted reproductive technology: a systematic review and meta-analysis.</w:t>
      </w:r>
      <w:r>
        <w:t xml:space="preserve"> J Assist Reprod Genet 2024;41(10):2549-2556. PMID: 39026123. [Tier 1 - J Assist Reprod Genet IF ~3.1]</w:t>
      </w:r>
    </w:p>
    <w:p>
      <w:pPr>
        <w:pStyle w:val="ListNumber"/>
      </w:pPr>
      <w:r>
        <w:rPr>
          <w:b/>
        </w:rPr>
        <w:t>Ameratunga D, et al. Antibiotics prior to or at the time of embryo transfer in ART.</w:t>
      </w:r>
      <w:r>
        <w:t xml:space="preserve"> Cochrane Database Syst Rev 2023;11(11):CD008995. PMID: 37994721. [Tier 0 - Cochrane]</w:t>
      </w:r>
    </w:p>
    <w:p>
      <w:pPr>
        <w:pStyle w:val="ListNumber"/>
      </w:pPr>
      <w:r>
        <w:rPr>
          <w:b/>
        </w:rPr>
        <w:t>ESHRE Guideline Group on Ovarian Stimulation. ESHRE guideline: ovarian stimulation for IVF/ICSI: an update in 2025.</w:t>
      </w:r>
      <w:r>
        <w:t xml:space="preserve"> Hum Reprod 2026;41(4):498-514. PMID: 41732035. [Tier 0 - ESHRE]</w:t>
      </w:r>
    </w:p>
    <w:p>
      <w:pPr>
        <w:pStyle w:val="ListNumber"/>
      </w:pPr>
      <w:r>
        <w:rPr>
          <w:b/>
        </w:rPr>
        <w:t>NICE. Fertility problems: assessment and treatment.</w:t>
      </w:r>
      <w:r>
        <w:t xml:space="preserve"> NICE CG156, 2013, last updated 2017. URL: https://www.nice.org.uk/guidance/cg156. [Tier 0 - NICE]</w:t>
      </w:r>
    </w:p>
    <w:p/>
    <w:p>
      <w:pPr>
        <w:pStyle w:val="Heading1"/>
      </w:pPr>
      <w:r>
        <w:t>10. DISCLAIMER VỀ NGUỒN</w:t>
      </w:r>
    </w:p>
    <w:p>
      <w:pPr>
        <w:pStyle w:val="ListBullet"/>
      </w:pPr>
      <w:r>
        <w:t xml:space="preserve">Tất cả số liệu cụ thể trong bài đã được </w:t>
      </w:r>
      <w:r>
        <w:rPr>
          <w:b/>
        </w:rPr>
        <w:t>verify abstract qua PubMed E-utilities</w:t>
      </w:r>
      <w:r>
        <w:t xml:space="preserve"> ([ABSTRACT VERIFIED]) hoặc </w:t>
      </w:r>
      <w:r>
        <w:rPr>
          <w:b/>
        </w:rPr>
        <w:t>qua guideline Tier 0</w:t>
      </w:r>
      <w:r>
        <w:t xml:space="preserve"> ([GUIDELINE VERIFIED]).</w:t>
      </w:r>
    </w:p>
    <w:p>
      <w:pPr>
        <w:pStyle w:val="ListBullet"/>
      </w:pPr>
      <w:r>
        <w:t>Một số số liệu dịch tễ (tỉ lệ OHSS, đa thai) là phổ biến trong y văn nhiều thập kỷ nhưng không gắn với citation cụ thể trong bài này — bác sĩ lâm sàng nên tra cứu guideline mới nhất khi ra quyết định.</w:t>
      </w:r>
    </w:p>
    <w:p>
      <w:pPr>
        <w:pStyle w:val="ListBullet"/>
      </w:pPr>
      <w:r>
        <w:t>Bài không đề cập chi tiết: kỹ thuật phôi (ICSI, time-lapse) đã có bài riêng; chi tiết kỹ thuật chuyển phôi (mock transfer, ultrasound-guided) nằm ngoài phạm vi biến chứng.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