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Gonadotropin Dosing trong IVF</w:t>
      </w:r>
    </w:p>
    <w:p>
      <w:pPr>
        <w:pStyle w:val="Title"/>
      </w:pPr>
      <w:r>
        <w:t>GONADOTROPIN DOSING TRONG IVF (Controlled Ovarian Stimulation)</w:t>
      </w:r>
    </w:p>
    <w:p>
      <w:r>
        <w:rPr>
          <w:b/>
        </w:rPr>
        <w:t>Bài học ngày 2026-06-27 — Hỗ trợ sinh sản (ART)</w:t>
      </w:r>
    </w:p>
    <w:p>
      <w:r>
        <w:rPr>
          <w:b/>
        </w:rPr>
        <w:t>Tác giả:</w:t>
      </w:r>
      <w:r>
        <w:t xml:space="preserve"> MiniMax Agent (Mavis) dưới sự giám sát BS Ngọc Hưng</w:t>
      </w:r>
    </w:p>
    <w:p>
      <w:r>
        <w:rPr>
          <w:b/>
        </w:rPr>
        <w:t>Nguồn:</w:t>
      </w:r>
      <w:r>
        <w:t xml:space="preserve"> 13 citation đã verify abstract qua PubMed E-utilities (Tier 0 guideline + Tier 1/2 papers Q1/Q2)</w:t>
      </w:r>
    </w:p>
    <w:p/>
    <w:p>
      <w:pPr>
        <w:pStyle w:val="Heading1"/>
      </w:pPr>
      <w:r>
        <w:t>0. TỔNG QUAN — VÌ SAO LIỀU GONADOTROPIN QUAN TRỌNG?</w:t>
      </w:r>
    </w:p>
    <w:p>
      <w:r>
        <w:t xml:space="preserve">Liều gonadotropin khởi đầu là quyết định </w:t>
      </w:r>
      <w:r>
        <w:rPr>
          <w:b/>
        </w:rPr>
        <w:t>nền tảng</w:t>
      </w:r>
      <w:r>
        <w:t xml:space="preserve"> trong kích thích buồng trứng có kiểm soát (Controlled Ovarian Stimulation — COS) cho IVF. Mục tiêu kép:</w:t>
      </w:r>
    </w:p>
    <w:p>
      <w:pPr>
        <w:pStyle w:val="ListBullet"/>
      </w:pPr>
      <w:r>
        <w:rPr>
          <w:b/>
        </w:rPr>
        <w:t>Lấy đủ noãn chất lượng</w:t>
      </w:r>
      <w:r>
        <w:t xml:space="preserve"> (thường 8–15 noãn) để tối ưu tỉ lệ thai lâm sàng, có phôi cho chuyển fresh và dự trữ.</w:t>
      </w:r>
    </w:p>
    <w:p>
      <w:pPr>
        <w:pStyle w:val="ListBullet"/>
      </w:pPr>
      <w:r>
        <w:rPr>
          <w:b/>
        </w:rPr>
        <w:t>Tránh đáp ứng quá mức</w:t>
      </w:r>
      <w:r>
        <w:t xml:space="preserve"> (hyperresponse) dẫn đến OHSS nặng, hoặc </w:t>
      </w:r>
      <w:r>
        <w:rPr>
          <w:b/>
        </w:rPr>
        <w:t>đáp ứng kém</w:t>
      </w:r>
      <w:r>
        <w:t xml:space="preserve"> (poor/suboptimal response) dẫn đến ít noãn, hủy chu kỳ, tốn kém.</w:t>
      </w:r>
    </w:p>
    <w:p>
      <w:r>
        <w:t>Ba trụ cột quyết định liều:</w:t>
      </w:r>
    </w:p>
    <w:p>
      <w:pPr>
        <w:pStyle w:val="ListNumber"/>
      </w:pPr>
      <w:r>
        <w:rPr>
          <w:b/>
        </w:rPr>
        <w:t>Dự trữ buồng trứng</w:t>
      </w:r>
      <w:r>
        <w:t xml:space="preserve"> (AMH + AFC + tuổi).</w:t>
      </w:r>
    </w:p>
    <w:p>
      <w:pPr>
        <w:pStyle w:val="ListNumber"/>
      </w:pPr>
      <w:r>
        <w:rPr>
          <w:b/>
        </w:rPr>
        <w:t>Phác đồ kích thích</w:t>
      </w:r>
      <w:r>
        <w:t xml:space="preserve"> (antagonist vs long agonist, có letrozole/clomiphene không).</w:t>
      </w:r>
    </w:p>
    <w:p>
      <w:pPr>
        <w:pStyle w:val="ListNumber"/>
      </w:pPr>
      <w:r>
        <w:rPr>
          <w:b/>
        </w:rPr>
        <w:t>Mục tiêu noãn</w:t>
      </w:r>
      <w:r>
        <w:t xml:space="preserve"> (số phôi cần cho 1 lần sinh — "one healthy baby at a time").</w:t>
      </w:r>
    </w:p>
    <w:p>
      <w:r>
        <w:rPr>
          <w:b/>
        </w:rPr>
        <w:t>Thông điệp cốt lõi:</w:t>
      </w:r>
      <w:r>
        <w:t xml:space="preserve"> Không có "liều một kích cỡ vừa tất cả". Liều khởi đầu cá nhân hóa dựa trên dự trữ buồng trứng, điều chỉnh linh hoạt theo đáp ứng từ ngày 5–7.</w:t>
      </w:r>
    </w:p>
    <w:p/>
    <w:p>
      <w:pPr>
        <w:pStyle w:val="Heading1"/>
      </w:pPr>
      <w:r>
        <w:t>1. CÁC LOẠI GONADOTROPIN</w:t>
      </w:r>
    </w:p>
    <w:p>
      <w:pPr>
        <w:pStyle w:val="Heading2"/>
      </w:pPr>
      <w:r>
        <w:t>1.1. Phân loại theo nguồn gốc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Nhóm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Thành phần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Ví dụ thương mại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Ghi chú</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rFSH đơn thuần</w:t>
            </w:r>
            <w:r>
              <w:rPr>
                <w:b/>
              </w:rPr>
              <w:t xml:space="preserve"> (recombinant)</w:t>
            </w:r>
          </w:p>
        </w:tc>
        <w:tc>
          <w:tcPr>
            <w:tcW w:type="dxa" w:w="2160"/>
            <w:tcBorders>
              <w:top w:val="single" w:sz="4" w:color="000000"/>
              <w:left w:val="single" w:sz="4" w:color="000000"/>
              <w:bottom w:val="single" w:sz="4" w:color="000000"/>
              <w:right w:val="single" w:sz="4" w:color="000000"/>
            </w:tcBorders>
          </w:tcPr>
          <w:p>
            <w:r/>
            <w:r>
              <w:t>Follitropin alpha/beta</w:t>
            </w:r>
          </w:p>
        </w:tc>
        <w:tc>
          <w:tcPr>
            <w:tcW w:type="dxa" w:w="2160"/>
            <w:tcBorders>
              <w:top w:val="single" w:sz="4" w:color="000000"/>
              <w:left w:val="single" w:sz="4" w:color="000000"/>
              <w:bottom w:val="single" w:sz="4" w:color="000000"/>
              <w:right w:val="single" w:sz="4" w:color="000000"/>
            </w:tcBorders>
          </w:tcPr>
          <w:p>
            <w:r/>
            <w:r>
              <w:t>Gonal-F, Puregon, Bemfola</w:t>
            </w:r>
          </w:p>
        </w:tc>
        <w:tc>
          <w:tcPr>
            <w:tcW w:type="dxa" w:w="2160"/>
            <w:tcBorders>
              <w:top w:val="single" w:sz="4" w:color="000000"/>
              <w:left w:val="single" w:sz="4" w:color="000000"/>
              <w:bottom w:val="single" w:sz="4" w:color="000000"/>
              <w:right w:val="single" w:sz="4" w:color="000000"/>
            </w:tcBorders>
          </w:tcPr>
          <w:p>
            <w:r/>
            <w:r>
              <w:t>Tinh khiết, không LH, dùng đường dưới da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HP-FSH</w:t>
            </w:r>
            <w:r>
              <w:rPr>
                <w:b/>
              </w:rPr>
              <w:t xml:space="preserve"> (highly purified urinary)</w:t>
            </w:r>
          </w:p>
        </w:tc>
        <w:tc>
          <w:tcPr>
            <w:tcW w:type="dxa" w:w="2160"/>
            <w:tcBorders>
              <w:top w:val="single" w:sz="4" w:color="000000"/>
              <w:left w:val="single" w:sz="4" w:color="000000"/>
              <w:bottom w:val="single" w:sz="4" w:color="000000"/>
              <w:right w:val="single" w:sz="4" w:color="000000"/>
            </w:tcBorders>
          </w:tcPr>
          <w:p>
            <w:r/>
            <w:r>
              <w:t>FSH từ nước tiểu phụ nữ mãn kinh</w:t>
            </w:r>
          </w:p>
        </w:tc>
        <w:tc>
          <w:tcPr>
            <w:tcW w:type="dxa" w:w="2160"/>
            <w:tcBorders>
              <w:top w:val="single" w:sz="4" w:color="000000"/>
              <w:left w:val="single" w:sz="4" w:color="000000"/>
              <w:bottom w:val="single" w:sz="4" w:color="000000"/>
              <w:right w:val="single" w:sz="4" w:color="000000"/>
            </w:tcBorders>
          </w:tcPr>
          <w:p>
            <w:r/>
            <w:r>
              <w:t>Bravelle, Metrodin HP</w:t>
            </w:r>
          </w:p>
        </w:tc>
        <w:tc>
          <w:tcPr>
            <w:tcW w:type="dxa" w:w="2160"/>
            <w:tcBorders>
              <w:top w:val="single" w:sz="4" w:color="000000"/>
              <w:left w:val="single" w:sz="4" w:color="000000"/>
              <w:bottom w:val="single" w:sz="4" w:color="000000"/>
              <w:right w:val="single" w:sz="4" w:color="000000"/>
            </w:tcBorders>
          </w:tcPr>
          <w:p>
            <w:r/>
            <w:r>
              <w:t>Ít dùng sau khi rFSH phổ biến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HP-hMG</w:t>
            </w:r>
            <w:r>
              <w:rPr>
                <w:b/>
              </w:rPr>
              <w:t xml:space="preserve"> (human menopausal gonadotropin)</w:t>
            </w:r>
          </w:p>
        </w:tc>
        <w:tc>
          <w:tcPr>
            <w:tcW w:type="dxa" w:w="2160"/>
            <w:tcBorders>
              <w:top w:val="single" w:sz="4" w:color="000000"/>
              <w:left w:val="single" w:sz="4" w:color="000000"/>
              <w:bottom w:val="single" w:sz="4" w:color="000000"/>
              <w:right w:val="single" w:sz="4" w:color="000000"/>
            </w:tcBorders>
          </w:tcPr>
          <w:p>
            <w:r/>
            <w:r>
              <w:t>FSH + LH + hCG từ nước tiểu</w:t>
            </w:r>
          </w:p>
        </w:tc>
        <w:tc>
          <w:tcPr>
            <w:tcW w:type="dxa" w:w="2160"/>
            <w:tcBorders>
              <w:top w:val="single" w:sz="4" w:color="000000"/>
              <w:left w:val="single" w:sz="4" w:color="000000"/>
              <w:bottom w:val="single" w:sz="4" w:color="000000"/>
              <w:right w:val="single" w:sz="4" w:color="000000"/>
            </w:tcBorders>
          </w:tcPr>
          <w:p>
            <w:r/>
            <w:r>
              <w:t>Menopur</w:t>
            </w:r>
          </w:p>
        </w:tc>
        <w:tc>
          <w:tcPr>
            <w:tcW w:type="dxa" w:w="2160"/>
            <w:tcBorders>
              <w:top w:val="single" w:sz="4" w:color="000000"/>
              <w:left w:val="single" w:sz="4" w:color="000000"/>
              <w:bottom w:val="single" w:sz="4" w:color="000000"/>
              <w:right w:val="single" w:sz="4" w:color="000000"/>
            </w:tcBorders>
          </w:tcPr>
          <w:p>
            <w:r/>
            <w:r>
              <w:t>LH activity từ hCG, thích hợp cho poor responder</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rFSH + rLH</w:t>
            </w:r>
          </w:p>
        </w:tc>
        <w:tc>
          <w:tcPr>
            <w:tcW w:type="dxa" w:w="2160"/>
            <w:tcBorders>
              <w:top w:val="single" w:sz="4" w:color="000000"/>
              <w:left w:val="single" w:sz="4" w:color="000000"/>
              <w:bottom w:val="single" w:sz="4" w:color="000000"/>
              <w:right w:val="single" w:sz="4" w:color="000000"/>
            </w:tcBorders>
          </w:tcPr>
          <w:p>
            <w:r/>
            <w:r>
              <w:t>rFSH + rLH tái tổ hợp</w:t>
            </w:r>
          </w:p>
        </w:tc>
        <w:tc>
          <w:tcPr>
            <w:tcW w:type="dxa" w:w="2160"/>
            <w:tcBorders>
              <w:top w:val="single" w:sz="4" w:color="000000"/>
              <w:left w:val="single" w:sz="4" w:color="000000"/>
              <w:bottom w:val="single" w:sz="4" w:color="000000"/>
              <w:right w:val="single" w:sz="4" w:color="000000"/>
            </w:tcBorders>
          </w:tcPr>
          <w:p>
            <w:r/>
            <w:r>
              <w:t>Pergoveris</w:t>
            </w:r>
          </w:p>
        </w:tc>
        <w:tc>
          <w:tcPr>
            <w:tcW w:type="dxa" w:w="2160"/>
            <w:tcBorders>
              <w:top w:val="single" w:sz="4" w:color="000000"/>
              <w:left w:val="single" w:sz="4" w:color="000000"/>
              <w:bottom w:val="single" w:sz="4" w:color="000000"/>
              <w:right w:val="single" w:sz="4" w:color="000000"/>
            </w:tcBorders>
          </w:tcPr>
          <w:p>
            <w:r/>
            <w:r>
              <w:t>Khi cần bổ sung LH (vd hypogonadotropic)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Corifollitropin alpha</w:t>
            </w:r>
          </w:p>
        </w:tc>
        <w:tc>
          <w:tcPr>
            <w:tcW w:type="dxa" w:w="2160"/>
            <w:tcBorders>
              <w:top w:val="single" w:sz="4" w:color="000000"/>
              <w:left w:val="single" w:sz="4" w:color="000000"/>
              <w:bottom w:val="single" w:sz="4" w:color="000000"/>
              <w:right w:val="single" w:sz="4" w:color="000000"/>
            </w:tcBorders>
          </w:tcPr>
          <w:p>
            <w:r/>
            <w:r>
              <w:t>rFSH gắn CTP (hCG beta tail)</w:t>
            </w:r>
          </w:p>
        </w:tc>
        <w:tc>
          <w:tcPr>
            <w:tcW w:type="dxa" w:w="2160"/>
            <w:tcBorders>
              <w:top w:val="single" w:sz="4" w:color="000000"/>
              <w:left w:val="single" w:sz="4" w:color="000000"/>
              <w:bottom w:val="single" w:sz="4" w:color="000000"/>
              <w:right w:val="single" w:sz="4" w:color="000000"/>
            </w:tcBorders>
          </w:tcPr>
          <w:p>
            <w:r/>
            <w:r>
              <w:t>Elonva</w:t>
            </w:r>
          </w:p>
        </w:tc>
        <w:tc>
          <w:tcPr>
            <w:tcW w:type="dxa" w:w="2160"/>
            <w:tcBorders>
              <w:top w:val="single" w:sz="4" w:color="000000"/>
              <w:left w:val="single" w:sz="4" w:color="000000"/>
              <w:bottom w:val="single" w:sz="4" w:color="000000"/>
              <w:right w:val="single" w:sz="4" w:color="000000"/>
            </w:tcBorders>
          </w:tcPr>
          <w:p>
            <w:r/>
            <w:r>
              <w:t>Long-acting, 1 mũi duy nhất thay 7 ngày rFSH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hCG</w:t>
            </w:r>
            <w:r>
              <w:rPr>
                <w:b/>
              </w:rPr>
              <w:t xml:space="preserve"> (chỉ LH activity)</w:t>
            </w:r>
          </w:p>
        </w:tc>
        <w:tc>
          <w:tcPr>
            <w:tcW w:type="dxa" w:w="2160"/>
            <w:tcBorders>
              <w:top w:val="single" w:sz="4" w:color="000000"/>
              <w:left w:val="single" w:sz="4" w:color="000000"/>
              <w:bottom w:val="single" w:sz="4" w:color="000000"/>
              <w:right w:val="single" w:sz="4" w:color="000000"/>
            </w:tcBorders>
          </w:tcPr>
          <w:p>
            <w:r/>
            <w:r>
              <w:t>Human chorionic gonadotropin</w:t>
            </w:r>
          </w:p>
        </w:tc>
        <w:tc>
          <w:tcPr>
            <w:tcW w:type="dxa" w:w="2160"/>
            <w:tcBorders>
              <w:top w:val="single" w:sz="4" w:color="000000"/>
              <w:left w:val="single" w:sz="4" w:color="000000"/>
              <w:bottom w:val="single" w:sz="4" w:color="000000"/>
              <w:right w:val="single" w:sz="4" w:color="000000"/>
            </w:tcBorders>
          </w:tcPr>
          <w:p>
            <w:r/>
            <w:r>
              <w:t>Ovidrel, Pregnyl, Novarel</w:t>
            </w:r>
          </w:p>
        </w:tc>
        <w:tc>
          <w:tcPr>
            <w:tcW w:type="dxa" w:w="2160"/>
            <w:tcBorders>
              <w:top w:val="single" w:sz="4" w:color="000000"/>
              <w:left w:val="single" w:sz="4" w:color="000000"/>
              <w:bottom w:val="single" w:sz="4" w:color="000000"/>
              <w:right w:val="single" w:sz="4" w:color="000000"/>
            </w:tcBorders>
          </w:tcPr>
          <w:p>
            <w:r/>
            <w:r>
              <w:t>Dùng để trigger cuối cùng</w:t>
            </w:r>
          </w:p>
        </w:tc>
      </w:tr>
    </w:tbl>
    <w:p>
      <w:pPr>
        <w:pStyle w:val="Heading2"/>
      </w:pPr>
      <w:r>
        <w:t>1.2. So sánh rFSH vs HP-hMG — Bằng chứng hiện tại</w:t>
      </w:r>
    </w:p>
    <w:p>
      <w:r>
        <w:t xml:space="preserve">Theo Bordewijk 2019 systematic review (Hum Reprod Open, PMID 31206036): trong IVF/ICSI, rFSH đơn thuần và HP-hMG cho </w:t>
      </w:r>
      <w:r>
        <w:rPr>
          <w:b/>
        </w:rPr>
        <w:t>lượng gonadotropin tổng cần để đạt 1 live birth tương đương</w:t>
      </w:r>
      <w:r>
        <w:t>, với profile an toàn gần như nhau. Lựa chọn thường dựa trên:</w:t>
      </w:r>
    </w:p>
    <w:p>
      <w:pPr>
        <w:pStyle w:val="ListBullet"/>
      </w:pPr>
      <w:r>
        <w:rPr>
          <w:b/>
        </w:rPr>
        <w:t>rFSH</w:t>
      </w:r>
      <w:r>
        <w:t>: bệnh nhân đáp ứng bình thường, muốn protocol đơn giản.</w:t>
      </w:r>
    </w:p>
    <w:p>
      <w:pPr>
        <w:pStyle w:val="ListBullet"/>
      </w:pPr>
      <w:r>
        <w:rPr>
          <w:b/>
        </w:rPr>
        <w:t>HP-hMG</w:t>
      </w:r>
      <w:r>
        <w:t>: poor responder, cần LH activity, từng có đáp ứng kém với rFSH đơn thuần.</w:t>
      </w:r>
    </w:p>
    <w:p/>
    <w:p>
      <w:pPr>
        <w:pStyle w:val="Heading1"/>
      </w:pPr>
      <w:r>
        <w:t>2. ĐÁNH GIÁ DỰ TRỮ BUỒNG TRỨNG — INPUT CHO QUYẾT ĐỊNH LIỀU</w:t>
      </w:r>
    </w:p>
    <w:p>
      <w:pPr>
        <w:pStyle w:val="Heading2"/>
      </w:pPr>
      <w:r>
        <w:t>2.1. Ba marker chính</w:t>
      </w:r>
    </w:p>
    <w:p>
      <w:r>
        <w:t>Theo HERA (Hyperresponse Risk Assessment) Delphi consensus 2024 (Fertil Steril, PMID 39603489):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Marker</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Đo lường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Ngưỡng hyperresponse (đồng thuận Delphi)</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Ngưỡng poor response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AMH</w:t>
            </w:r>
            <w:r>
              <w:rPr>
                <w:b/>
              </w:rPr>
              <w:t xml:space="preserve"> (Anti-Müllerian Hormone)</w:t>
            </w:r>
          </w:p>
        </w:tc>
        <w:tc>
          <w:tcPr>
            <w:tcW w:type="dxa" w:w="2160"/>
            <w:tcBorders>
              <w:top w:val="single" w:sz="4" w:color="000000"/>
              <w:left w:val="single" w:sz="4" w:color="000000"/>
              <w:bottom w:val="single" w:sz="4" w:color="000000"/>
              <w:right w:val="single" w:sz="4" w:color="000000"/>
            </w:tcBorders>
          </w:tcPr>
          <w:p>
            <w:r/>
            <w:r>
              <w:t>Hormone từ tế bào hạt nang nhỏ</w:t>
            </w:r>
          </w:p>
        </w:tc>
        <w:tc>
          <w:tcPr>
            <w:tcW w:type="dxa" w:w="2160"/>
            <w:tcBorders>
              <w:top w:val="single" w:sz="4" w:color="000000"/>
              <w:left w:val="single" w:sz="4" w:color="000000"/>
              <w:bottom w:val="single" w:sz="4" w:color="000000"/>
              <w:right w:val="single" w:sz="4" w:color="000000"/>
            </w:tcBorders>
          </w:tcPr>
          <w:p>
            <w:r/>
            <w:r>
              <w:t>&gt; 36.2 pmol/L (&gt; ~5 ng/mL)</w:t>
            </w:r>
          </w:p>
        </w:tc>
        <w:tc>
          <w:tcPr>
            <w:tcW w:type="dxa" w:w="2160"/>
            <w:tcBorders>
              <w:top w:val="single" w:sz="4" w:color="000000"/>
              <w:left w:val="single" w:sz="4" w:color="000000"/>
              <w:bottom w:val="single" w:sz="4" w:color="000000"/>
              <w:right w:val="single" w:sz="4" w:color="000000"/>
            </w:tcBorders>
          </w:tcPr>
          <w:p>
            <w:r/>
            <w:r>
              <w:t>&lt; 7.7 pmol/L (&lt; ~1.1 ng/mL)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AFC</w:t>
            </w:r>
            <w:r>
              <w:rPr>
                <w:b/>
              </w:rPr>
              <w:t xml:space="preserve"> (Antral Follicle Count)</w:t>
            </w:r>
          </w:p>
        </w:tc>
        <w:tc>
          <w:tcPr>
            <w:tcW w:type="dxa" w:w="2160"/>
            <w:tcBorders>
              <w:top w:val="single" w:sz="4" w:color="000000"/>
              <w:left w:val="single" w:sz="4" w:color="000000"/>
              <w:bottom w:val="single" w:sz="4" w:color="000000"/>
              <w:right w:val="single" w:sz="4" w:color="000000"/>
            </w:tcBorders>
          </w:tcPr>
          <w:p>
            <w:r/>
            <w:r>
              <w:t>Số nang 2–10 mm trên siêu âm ngày 2–5</w:t>
            </w:r>
          </w:p>
        </w:tc>
        <w:tc>
          <w:tcPr>
            <w:tcW w:type="dxa" w:w="2160"/>
            <w:tcBorders>
              <w:top w:val="single" w:sz="4" w:color="000000"/>
              <w:left w:val="single" w:sz="4" w:color="000000"/>
              <w:bottom w:val="single" w:sz="4" w:color="000000"/>
              <w:right w:val="single" w:sz="4" w:color="000000"/>
            </w:tcBorders>
          </w:tcPr>
          <w:p>
            <w:r/>
            <w:r>
              <w:t>&gt; 18–24 nang</w:t>
            </w:r>
          </w:p>
        </w:tc>
        <w:tc>
          <w:tcPr>
            <w:tcW w:type="dxa" w:w="2160"/>
            <w:tcBorders>
              <w:top w:val="single" w:sz="4" w:color="000000"/>
              <w:left w:val="single" w:sz="4" w:color="000000"/>
              <w:bottom w:val="single" w:sz="4" w:color="000000"/>
              <w:right w:val="single" w:sz="4" w:color="000000"/>
            </w:tcBorders>
          </w:tcPr>
          <w:p>
            <w:r/>
            <w:r>
              <w:t>&lt; 5–7 nang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w:t>
            </w:r>
          </w:p>
        </w:tc>
        <w:tc>
          <w:tcPr>
            <w:tcW w:type="dxa" w:w="2160"/>
            <w:tcBorders>
              <w:top w:val="single" w:sz="4" w:color="000000"/>
              <w:left w:val="single" w:sz="4" w:color="000000"/>
              <w:bottom w:val="single" w:sz="4" w:color="000000"/>
              <w:right w:val="single" w:sz="4" w:color="000000"/>
            </w:tcBorders>
          </w:tcPr>
          <w:p>
            <w:r/>
            <w:r>
              <w:t>Năm</w:t>
            </w:r>
          </w:p>
        </w:tc>
        <w:tc>
          <w:tcPr>
            <w:tcW w:type="dxa" w:w="2160"/>
            <w:tcBorders>
              <w:top w:val="single" w:sz="4" w:color="000000"/>
              <w:left w:val="single" w:sz="4" w:color="000000"/>
              <w:bottom w:val="single" w:sz="4" w:color="000000"/>
              <w:right w:val="single" w:sz="4" w:color="000000"/>
            </w:tcBorders>
          </w:tcPr>
          <w:p>
            <w:r/>
            <w:r>
              <w:t>&lt; 35 (kèm AMH/AFC cao)</w:t>
            </w:r>
          </w:p>
        </w:tc>
        <w:tc>
          <w:tcPr>
            <w:tcW w:type="dxa" w:w="2160"/>
            <w:tcBorders>
              <w:top w:val="single" w:sz="4" w:color="000000"/>
              <w:left w:val="single" w:sz="4" w:color="000000"/>
              <w:bottom w:val="single" w:sz="4" w:color="000000"/>
              <w:right w:val="single" w:sz="4" w:color="000000"/>
            </w:tcBorders>
          </w:tcPr>
          <w:p>
            <w:r/>
            <w:r>
              <w:t>&gt; 40 (đặc biệt &gt; 42)</w:t>
            </w:r>
          </w:p>
        </w:tc>
      </w:tr>
    </w:tbl>
    <w:p>
      <w:pPr>
        <w:pStyle w:val="Heading2"/>
      </w:pPr>
      <w:r>
        <w:t>2.2. Thuật toán AMH-based (Sopa 2019 - PMID 31009858)</w:t>
      </w:r>
    </w:p>
    <w:p>
      <w:r>
        <w:t>Sopa 2019 (Eur J Obstet Gynecol Reprod Biol, n = 589 bệnh nhân) đề xuất:</w:t>
      </w:r>
    </w:p>
    <w:p>
      <w:pPr>
        <w:pStyle w:val="ListBullet"/>
      </w:pPr>
      <w:r>
        <w:rPr>
          <w:b/>
        </w:rPr>
        <w:t>AMH &lt; 12 pmol/L</w:t>
      </w:r>
      <w:r>
        <w:t>: kích thích tối đa với corifollitropin (1 mũi long-acting).</w:t>
      </w:r>
    </w:p>
    <w:p>
      <w:pPr>
        <w:pStyle w:val="ListBullet"/>
      </w:pPr>
      <w:r>
        <w:rPr>
          <w:b/>
        </w:rPr>
        <w:t>AMH 12–32 pmol/L</w:t>
      </w:r>
      <w:r>
        <w:t>: kích thích tiêu chuẩn 150 IU/ngày rFSH.</w:t>
      </w:r>
    </w:p>
    <w:p>
      <w:pPr>
        <w:pStyle w:val="ListBullet"/>
      </w:pPr>
      <w:r>
        <w:rPr>
          <w:b/>
        </w:rPr>
        <w:t>AMH &gt; 32 pmol/L</w:t>
      </w:r>
      <w:r>
        <w:t>: kích thích tối thiểu 112 IU/ngày HP-hMG.</w:t>
      </w:r>
    </w:p>
    <w:p>
      <w:r>
        <w:t xml:space="preserve">→ Thuật toán này duy trì tỉ lệ thai (ongoing pregnancy) </w:t>
      </w:r>
      <w:r>
        <w:rPr>
          <w:b/>
        </w:rPr>
        <w:t>mà giảm OHSS</w:t>
      </w:r>
      <w:r>
        <w:t xml:space="preserve"> ở nhóm AMH cao.</w:t>
      </w:r>
    </w:p>
    <w:p>
      <w:pPr>
        <w:pStyle w:val="Heading2"/>
      </w:pPr>
      <w:r>
        <w:t>2.3. POSEIDON criteria — chiến lược liều cho "suboptimal responder"</w:t>
      </w:r>
    </w:p>
    <w:p>
      <w:r>
        <w:t xml:space="preserve">POSEIDON phân nhóm bệnh nhân đáp ứng kém thành 4 nhóm dựa trên tuổi + dự trữ + đáp ứng trước đó (Alviggi 2016). Hochberg 2024 (J Assist Reprod Genet, PMID 39422825) cho thấy </w:t>
      </w:r>
      <w:r>
        <w:rPr>
          <w:b/>
        </w:rPr>
        <w:t>liều FSH cao hơn</w:t>
      </w:r>
      <w:r>
        <w:t xml:space="preserve"> không tự động cải thiện phân loại POSEIDON — phải cân nhắc thêm protocol + trigger.</w:t>
      </w:r>
    </w:p>
    <w:p/>
    <w:p>
      <w:pPr>
        <w:pStyle w:val="Heading1"/>
      </w:pPr>
      <w:r>
        <w:t>3. CÔNG THỨC KHỞI ĐẦU — BẰNG CHỨNG TỪ CÁC NGHIÊN CỨU LỚN</w:t>
      </w:r>
    </w:p>
    <w:p>
      <w:pPr>
        <w:pStyle w:val="Heading2"/>
      </w:pPr>
      <w:r>
        <w:t>3.1. OPTIMIST trial (van Tilborg 2017, PMID 29121350)</w:t>
      </w:r>
    </w:p>
    <w:p>
      <w:r>
        <w:t>RCT đa trung tâm Hà Lan (n = 1,515) so sánh:</w:t>
      </w:r>
    </w:p>
    <w:p>
      <w:pPr>
        <w:pStyle w:val="ListBullet"/>
      </w:pPr>
      <w:r>
        <w:rPr>
          <w:b/>
        </w:rPr>
        <w:t>Individualized dosing</w:t>
      </w:r>
      <w:r>
        <w:t xml:space="preserve"> dựa trên AFC + AMH.</w:t>
      </w:r>
    </w:p>
    <w:p>
      <w:pPr>
        <w:pStyle w:val="ListBullet"/>
      </w:pPr>
      <w:r>
        <w:rPr>
          <w:b/>
        </w:rPr>
        <w:t>Standard dose 150 IU/ngày</w:t>
      </w:r>
      <w:r>
        <w:t>.</w:t>
      </w:r>
    </w:p>
    <w:p>
      <w:r>
        <w:t xml:space="preserve">Kết quả: individualized dosing </w:t>
      </w:r>
      <w:r>
        <w:rPr>
          <w:b/>
        </w:rPr>
        <w:t>không tăng ongoing pregnancy</w:t>
      </w:r>
      <w:r>
        <w:t xml:space="preserve"> so với standard 150 IU ở nhóm dự trữ bình thường, nhưng </w:t>
      </w:r>
      <w:r>
        <w:rPr>
          <w:b/>
        </w:rPr>
        <w:t>giảm chi phí</w:t>
      </w:r>
      <w:r>
        <w:t xml:space="preserve"> nhờ dùng ít thuốc ở nhóm dự trữ cao. Cung cấp bằng chứng rằng AMH/AFC có thể dùng để </w:t>
      </w:r>
      <w:r>
        <w:rPr>
          <w:b/>
        </w:rPr>
        <w:t>cá nhân hóa</w:t>
      </w:r>
      <w:r>
        <w:t xml:space="preserve"> liều.</w:t>
      </w:r>
    </w:p>
    <w:p>
      <w:pPr>
        <w:pStyle w:val="Heading2"/>
      </w:pPr>
      <w:r>
        <w:t>3.2. Liu 2023 RCT (PMID 37105131) — Tăng liều ở poor responder</w:t>
      </w:r>
    </w:p>
    <w:p>
      <w:r>
        <w:t xml:space="preserve">RCT Trung Quốc (n = 686) so sánh </w:t>
      </w:r>
      <w:r>
        <w:rPr>
          <w:b/>
        </w:rPr>
        <w:t>300 IU/ngày vs 150 IU/ngày</w:t>
      </w:r>
      <w:r>
        <w:t xml:space="preserve"> ở bệnh nhân poor responder:</w:t>
      </w:r>
    </w:p>
    <w:p>
      <w:pPr>
        <w:pStyle w:val="ListBullet"/>
      </w:pPr>
      <w:r>
        <w:t xml:space="preserve">Nhóm 300 IU: </w:t>
      </w:r>
      <w:r>
        <w:rPr>
          <w:b/>
        </w:rPr>
        <w:t>nhiều noãn hơn</w:t>
      </w:r>
      <w:r>
        <w:t xml:space="preserve"> (+2–3 noãn), </w:t>
      </w:r>
      <w:r>
        <w:rPr>
          <w:b/>
        </w:rPr>
        <w:t>nhiều phôi hơn</w:t>
      </w:r>
      <w:r>
        <w:t xml:space="preserve">, nhưng </w:t>
      </w:r>
      <w:r>
        <w:rPr>
          <w:b/>
        </w:rPr>
        <w:t>không tăng live birth rate</w:t>
      </w:r>
      <w:r>
        <w:t xml:space="preserve"> so với 150 IU.</w:t>
      </w:r>
    </w:p>
    <w:p>
      <w:pPr>
        <w:pStyle w:val="ListBullet"/>
      </w:pPr>
      <w:r>
        <w:rPr>
          <w:b/>
        </w:rPr>
        <w:t>Không tăng OHSS</w:t>
      </w:r>
      <w:r>
        <w:t xml:space="preserve"> vì cả 2 nhóm đều poor responder (ít nang).</w:t>
      </w:r>
    </w:p>
    <w:p>
      <w:r>
        <w:t xml:space="preserve">Phù hợp với </w:t>
      </w:r>
      <w:r>
        <w:rPr>
          <w:b/>
        </w:rPr>
        <w:t>ESHRE 2025</w:t>
      </w:r>
      <w:r>
        <w:t xml:space="preserve"> (PMID 41732035) Strong NOT recommended dùng &gt; 300 IU ở low responder.</w:t>
      </w:r>
    </w:p>
    <w:p>
      <w:pPr>
        <w:pStyle w:val="Heading2"/>
      </w:pPr>
      <w:r>
        <w:t>3.3. Liu 2023 secondary analysis (PMID 37844507)</w:t>
      </w:r>
    </w:p>
    <w:p>
      <w:r>
        <w:t xml:space="preserve">Phân tích thứ cấp RCT trên: </w:t>
      </w:r>
      <w:r>
        <w:rPr>
          <w:b/>
        </w:rPr>
        <w:t>ai thực sự benefit từ tăng liều</w:t>
      </w:r>
      <w:r>
        <w:t xml:space="preserve"> ở poor responders?</w:t>
      </w:r>
    </w:p>
    <w:p>
      <w:pPr>
        <w:pStyle w:val="ListBullet"/>
      </w:pPr>
      <w:r>
        <w:t xml:space="preserve">Bệnh nhân AMH ≥ 1 ng/mL + tuổi &lt; 38: </w:t>
      </w:r>
      <w:r>
        <w:rPr>
          <w:b/>
        </w:rPr>
        <w:t>có thể benefit</w:t>
      </w:r>
      <w:r>
        <w:t xml:space="preserve"> từ 300 IU.</w:t>
      </w:r>
    </w:p>
    <w:p>
      <w:pPr>
        <w:pStyle w:val="ListBullet"/>
      </w:pPr>
      <w:r>
        <w:t xml:space="preserve">Bệnh nhân AMH &lt; 1 ng/mL hoặc tuổi ≥ 38: </w:t>
      </w:r>
      <w:r>
        <w:rPr>
          <w:b/>
        </w:rPr>
        <w:t>không benefit</w:t>
      </w:r>
      <w:r>
        <w:t xml:space="preserve"> rõ ràng, nên cân nhắc chuyển sang chiến lược khác (mini-IVF, DuoStim, donor).</w:t>
      </w:r>
    </w:p>
    <w:p>
      <w:pPr>
        <w:pStyle w:val="Heading2"/>
      </w:pPr>
      <w:r>
        <w:t>3.4. Chen 2026 personalized FSH (Biomedicines, PMID 42072310)</w:t>
      </w:r>
    </w:p>
    <w:p>
      <w:r>
        <w:t xml:space="preserve">Nghiên cứu 369 bệnh nhân </w:t>
      </w:r>
      <w:r>
        <w:rPr>
          <w:b/>
        </w:rPr>
        <w:t>PCOS</w:t>
      </w:r>
      <w:r>
        <w:t xml:space="preserve"> dùng GnRH antagonist: phát triển công cụ cá nhân hóa liều rFSH dựa trên đáp ứng cá nhân (oocyte target 10–20, ≥ 40% nang ≥ 16 mm) — gợi ý </w:t>
      </w:r>
      <w:r>
        <w:rPr>
          <w:b/>
        </w:rPr>
        <w:t>bắt đầu thấp + tăng dần</w:t>
      </w:r>
      <w:r>
        <w:t xml:space="preserve"> dựa trên monitoring sớm tốt hơn bắt đầu cao rồi coasting.</w:t>
      </w:r>
    </w:p>
    <w:p/>
    <w:p>
      <w:pPr>
        <w:pStyle w:val="Heading1"/>
      </w:pPr>
      <w:r>
        <w:t>4. BẢNG LIỀU KHUYẾN CÁO THEO NHÓM ĐÁP ỨNG (Tổng hợp từ ESHRE 2025 + clinical practice)</w:t>
      </w:r>
    </w:p>
    <w:p>
      <w:pPr>
        <w:pStyle w:val="Heading2"/>
      </w:pPr>
      <w:r>
        <w:t>4.1. Phân nhóm dựa trên dự trữ + tiên lượng đáp ứng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Nhóm</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Liều khởi đầu khuyến cáo (FSH/ngày)</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Protocol ưu tiên</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Mục tiêu noãn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Hyper-responder</w:t>
            </w:r>
          </w:p>
        </w:tc>
        <w:tc>
          <w:tcPr>
            <w:tcW w:type="dxa" w:w="1728"/>
            <w:tcBorders>
              <w:top w:val="single" w:sz="4" w:color="000000"/>
              <w:left w:val="single" w:sz="4" w:color="000000"/>
              <w:bottom w:val="single" w:sz="4" w:color="000000"/>
              <w:right w:val="single" w:sz="4" w:color="000000"/>
            </w:tcBorders>
          </w:tcPr>
          <w:p>
            <w:r/>
            <w:r>
              <w:t>AMH &gt; 36 pmol/L, AFC &gt; 18, tuổi &lt; 35, PCOS</w:t>
            </w:r>
          </w:p>
        </w:tc>
        <w:tc>
          <w:tcPr>
            <w:tcW w:type="dxa" w:w="1728"/>
            <w:tcBorders>
              <w:top w:val="single" w:sz="4" w:color="000000"/>
              <w:left w:val="single" w:sz="4" w:color="000000"/>
              <w:bottom w:val="single" w:sz="4" w:color="000000"/>
              <w:right w:val="single" w:sz="4" w:color="000000"/>
            </w:tcBorders>
          </w:tcPr>
          <w:p>
            <w:r/>
            <w:r>
              <w:rPr>
                <w:b/>
              </w:rPr>
              <w:t>100 – &lt; 150 IU</w:t>
            </w:r>
          </w:p>
        </w:tc>
        <w:tc>
          <w:tcPr>
            <w:tcW w:type="dxa" w:w="1728"/>
            <w:tcBorders>
              <w:top w:val="single" w:sz="4" w:color="000000"/>
              <w:left w:val="single" w:sz="4" w:color="000000"/>
              <w:bottom w:val="single" w:sz="4" w:color="000000"/>
              <w:right w:val="single" w:sz="4" w:color="000000"/>
            </w:tcBorders>
          </w:tcPr>
          <w:p>
            <w:r/>
            <w:r>
              <w:t>Antagonist + GnRH agonist trigger</w:t>
            </w:r>
          </w:p>
        </w:tc>
        <w:tc>
          <w:tcPr>
            <w:tcW w:type="dxa" w:w="1728"/>
            <w:tcBorders>
              <w:top w:val="single" w:sz="4" w:color="000000"/>
              <w:left w:val="single" w:sz="4" w:color="000000"/>
              <w:bottom w:val="single" w:sz="4" w:color="000000"/>
              <w:right w:val="single" w:sz="4" w:color="000000"/>
            </w:tcBorders>
          </w:tcPr>
          <w:p>
            <w:r/>
            <w:r>
              <w:t>8–15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Normal responder</w:t>
            </w:r>
          </w:p>
        </w:tc>
        <w:tc>
          <w:tcPr>
            <w:tcW w:type="dxa" w:w="1728"/>
            <w:tcBorders>
              <w:top w:val="single" w:sz="4" w:color="000000"/>
              <w:left w:val="single" w:sz="4" w:color="000000"/>
              <w:bottom w:val="single" w:sz="4" w:color="000000"/>
              <w:right w:val="single" w:sz="4" w:color="000000"/>
            </w:tcBorders>
          </w:tcPr>
          <w:p>
            <w:r/>
            <w:r>
              <w:t>AMH 12–32 pmol/L, AFC 8–18, tuổi 30–38</w:t>
            </w:r>
          </w:p>
        </w:tc>
        <w:tc>
          <w:tcPr>
            <w:tcW w:type="dxa" w:w="1728"/>
            <w:tcBorders>
              <w:top w:val="single" w:sz="4" w:color="000000"/>
              <w:left w:val="single" w:sz="4" w:color="000000"/>
              <w:bottom w:val="single" w:sz="4" w:color="000000"/>
              <w:right w:val="single" w:sz="4" w:color="000000"/>
            </w:tcBorders>
          </w:tcPr>
          <w:p>
            <w:r/>
            <w:r>
              <w:rPr>
                <w:b/>
              </w:rPr>
              <w:t>150 – 225 IU</w:t>
            </w:r>
          </w:p>
        </w:tc>
        <w:tc>
          <w:tcPr>
            <w:tcW w:type="dxa" w:w="1728"/>
            <w:tcBorders>
              <w:top w:val="single" w:sz="4" w:color="000000"/>
              <w:left w:val="single" w:sz="4" w:color="000000"/>
              <w:bottom w:val="single" w:sz="4" w:color="000000"/>
              <w:right w:val="single" w:sz="4" w:color="000000"/>
            </w:tcBorders>
          </w:tcPr>
          <w:p>
            <w:r/>
            <w:r>
              <w:t>Antagonist hoặc long agonist</w:t>
            </w:r>
          </w:p>
        </w:tc>
        <w:tc>
          <w:tcPr>
            <w:tcW w:type="dxa" w:w="1728"/>
            <w:tcBorders>
              <w:top w:val="single" w:sz="4" w:color="000000"/>
              <w:left w:val="single" w:sz="4" w:color="000000"/>
              <w:bottom w:val="single" w:sz="4" w:color="000000"/>
              <w:right w:val="single" w:sz="4" w:color="000000"/>
            </w:tcBorders>
          </w:tcPr>
          <w:p>
            <w:r/>
            <w:r>
              <w:t>8–15</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Suboptimal / poor</w:t>
            </w:r>
            <w:r>
              <w:rPr>
                <w:b/>
              </w:rPr>
              <w:t xml:space="preserve"> (POSEIDON 1–4)</w:t>
            </w:r>
          </w:p>
        </w:tc>
        <w:tc>
          <w:tcPr>
            <w:tcW w:type="dxa" w:w="1728"/>
            <w:tcBorders>
              <w:top w:val="single" w:sz="4" w:color="000000"/>
              <w:left w:val="single" w:sz="4" w:color="000000"/>
              <w:bottom w:val="single" w:sz="4" w:color="000000"/>
              <w:right w:val="single" w:sz="4" w:color="000000"/>
            </w:tcBorders>
          </w:tcPr>
          <w:p>
            <w:r/>
            <w:r>
              <w:t>AMH &lt; 7.7 pmol/L, AFC &lt; 5, tuổi &gt; 38, hoặc tiền sử poor</w:t>
            </w:r>
          </w:p>
        </w:tc>
        <w:tc>
          <w:tcPr>
            <w:tcW w:type="dxa" w:w="1728"/>
            <w:tcBorders>
              <w:top w:val="single" w:sz="4" w:color="000000"/>
              <w:left w:val="single" w:sz="4" w:color="000000"/>
              <w:bottom w:val="single" w:sz="4" w:color="000000"/>
              <w:right w:val="single" w:sz="4" w:color="000000"/>
            </w:tcBorders>
          </w:tcPr>
          <w:p>
            <w:r/>
            <w:r>
              <w:rPr>
                <w:b/>
              </w:rPr>
              <w:t>225 – 300 IU</w:t>
            </w:r>
            <w:r>
              <w:t xml:space="preserve"> (có thể tới 300–375 IU sau 5–7 ngày nếu đáp ứng chậm)</w:t>
            </w:r>
          </w:p>
        </w:tc>
        <w:tc>
          <w:tcPr>
            <w:tcW w:type="dxa" w:w="1728"/>
            <w:tcBorders>
              <w:top w:val="single" w:sz="4" w:color="000000"/>
              <w:left w:val="single" w:sz="4" w:color="000000"/>
              <w:bottom w:val="single" w:sz="4" w:color="000000"/>
              <w:right w:val="single" w:sz="4" w:color="000000"/>
            </w:tcBorders>
          </w:tcPr>
          <w:p>
            <w:r/>
            <w:r>
              <w:t>Antagonist + dual trigger / DuoStim cân nhắc</w:t>
            </w:r>
          </w:p>
        </w:tc>
        <w:tc>
          <w:tcPr>
            <w:tcW w:type="dxa" w:w="1728"/>
            <w:tcBorders>
              <w:top w:val="single" w:sz="4" w:color="000000"/>
              <w:left w:val="single" w:sz="4" w:color="000000"/>
              <w:bottom w:val="single" w:sz="4" w:color="000000"/>
              <w:right w:val="single" w:sz="4" w:color="000000"/>
            </w:tcBorders>
          </w:tcPr>
          <w:p>
            <w:r/>
            <w:r>
              <w:t>3–8</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Very poor / expected low</w:t>
            </w:r>
          </w:p>
        </w:tc>
        <w:tc>
          <w:tcPr>
            <w:tcW w:type="dxa" w:w="1728"/>
            <w:tcBorders>
              <w:top w:val="single" w:sz="4" w:color="000000"/>
              <w:left w:val="single" w:sz="4" w:color="000000"/>
              <w:bottom w:val="single" w:sz="4" w:color="000000"/>
              <w:right w:val="single" w:sz="4" w:color="000000"/>
            </w:tcBorders>
          </w:tcPr>
          <w:p>
            <w:r/>
            <w:r>
              <w:t>AMH &lt; 3.5 pmol/L, AFC &lt; 3, FSH cơ bản &gt; 15</w:t>
            </w:r>
          </w:p>
        </w:tc>
        <w:tc>
          <w:tcPr>
            <w:tcW w:type="dxa" w:w="1728"/>
            <w:tcBorders>
              <w:top w:val="single" w:sz="4" w:color="000000"/>
              <w:left w:val="single" w:sz="4" w:color="000000"/>
              <w:bottom w:val="single" w:sz="4" w:color="000000"/>
              <w:right w:val="single" w:sz="4" w:color="000000"/>
            </w:tcBorders>
          </w:tcPr>
          <w:p>
            <w:r/>
            <w:r>
              <w:rPr>
                <w:b/>
              </w:rPr>
              <w:t>Cá nhân hoá 300 IU, hoặc mini-IVF, hoặc donor</w:t>
            </w:r>
          </w:p>
        </w:tc>
        <w:tc>
          <w:tcPr>
            <w:tcW w:type="dxa" w:w="1728"/>
            <w:tcBorders>
              <w:top w:val="single" w:sz="4" w:color="000000"/>
              <w:left w:val="single" w:sz="4" w:color="000000"/>
              <w:bottom w:val="single" w:sz="4" w:color="000000"/>
              <w:right w:val="single" w:sz="4" w:color="000000"/>
            </w:tcBorders>
          </w:tcPr>
          <w:p>
            <w:r/>
            <w:r>
              <w:t>Mini-IVF + clomiphene, hoặc donor</w:t>
            </w:r>
          </w:p>
        </w:tc>
        <w:tc>
          <w:tcPr>
            <w:tcW w:type="dxa" w:w="1728"/>
            <w:tcBorders>
              <w:top w:val="single" w:sz="4" w:color="000000"/>
              <w:left w:val="single" w:sz="4" w:color="000000"/>
              <w:bottom w:val="single" w:sz="4" w:color="000000"/>
              <w:right w:val="single" w:sz="4" w:color="000000"/>
            </w:tcBorders>
          </w:tcPr>
          <w:p>
            <w:r/>
            <w:r>
              <w:t>Chấp nhận 1–3</w:t>
            </w:r>
          </w:p>
        </w:tc>
      </w:tr>
    </w:tbl>
    <w:p>
      <w:r>
        <w:rPr>
          <w:b/>
        </w:rPr>
        <w:t>Ghi chú quan trọng:</w:t>
      </w:r>
    </w:p>
    <w:p>
      <w:pPr>
        <w:pStyle w:val="ListBullet"/>
      </w:pPr>
      <w:r>
        <w:t xml:space="preserve">ESHRE 2025 (PMID 41732035): </w:t>
      </w:r>
      <w:r>
        <w:rPr>
          <w:b/>
        </w:rPr>
        <w:t>Strong NOT recommended</w:t>
      </w:r>
      <w:r>
        <w:t xml:space="preserve"> dùng &gt; 300 IU cho low responder (⊕◯◯◯) vì không cải thiện live birth.</w:t>
      </w:r>
    </w:p>
    <w:p>
      <w:pPr>
        <w:pStyle w:val="ListBullet"/>
      </w:pPr>
      <w:r>
        <w:t>Hyper-responder (100–&lt; 150 IU): Conditional (⊕◯◯◯).</w:t>
      </w:r>
    </w:p>
    <w:p>
      <w:pPr>
        <w:pStyle w:val="ListBullet"/>
      </w:pPr>
      <w:r>
        <w:t xml:space="preserve">Letrozole + gonadotropin: probably not recommended cho high/normal/low — </w:t>
      </w:r>
      <w:r>
        <w:rPr>
          <w:b/>
        </w:rPr>
        <w:t>trừ fertility preservation ở bệnh nhân ER+ breast cancer</w:t>
      </w:r>
      <w:r>
        <w:t xml:space="preserve"> (GPP).</w:t>
      </w:r>
    </w:p>
    <w:p>
      <w:pPr>
        <w:pStyle w:val="Heading2"/>
      </w:pPr>
      <w:r>
        <w:t>4.2. Corifollitropin alpha (long-acting FSH)</w:t>
      </w:r>
    </w:p>
    <w:p>
      <w:r>
        <w:t xml:space="preserve">Corifollitropin (Elonva) cho </w:t>
      </w:r>
      <w:r>
        <w:rPr>
          <w:b/>
        </w:rPr>
        <w:t>1 mũi duy nhất</w:t>
      </w:r>
      <w:r>
        <w:t xml:space="preserve"> thay 7 ngày rFSH, tiện cho bệnh nhân và giảm tải tiêm. Phù hợp cho normal responder, không phù hợp cho poor responder (cần linh hoạt dose adjustment hàng ngày).</w:t>
      </w:r>
    </w:p>
    <w:p/>
    <w:p>
      <w:pPr>
        <w:pStyle w:val="Heading1"/>
      </w:pPr>
      <w:r>
        <w:t>5. ĐIỀU CHỈNH LIỀU TRONG CYCLE (STEP-UP / STEP-DOWN)</w:t>
      </w:r>
    </w:p>
    <w:p>
      <w:pPr>
        <w:pStyle w:val="Heading2"/>
      </w:pPr>
      <w:r>
        <w:t>5.1. Theo dõi sớm (Day 5–7)</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Marker</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Mục đích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Quyết định điều chỉnh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E2 huyết thanh</w:t>
            </w:r>
          </w:p>
        </w:tc>
        <w:tc>
          <w:tcPr>
            <w:tcW w:type="dxa" w:w="2880"/>
            <w:tcBorders>
              <w:top w:val="single" w:sz="4" w:color="000000"/>
              <w:left w:val="single" w:sz="4" w:color="000000"/>
              <w:bottom w:val="single" w:sz="4" w:color="000000"/>
              <w:right w:val="single" w:sz="4" w:color="000000"/>
            </w:tcBorders>
          </w:tcPr>
          <w:p>
            <w:r/>
            <w:r>
              <w:t>Đánh giá đáp ứng sớm</w:t>
            </w:r>
          </w:p>
        </w:tc>
        <w:tc>
          <w:tcPr>
            <w:tcW w:type="dxa" w:w="2880"/>
            <w:tcBorders>
              <w:top w:val="single" w:sz="4" w:color="000000"/>
              <w:left w:val="single" w:sz="4" w:color="000000"/>
              <w:bottom w:val="single" w:sz="4" w:color="000000"/>
              <w:right w:val="single" w:sz="4" w:color="000000"/>
            </w:tcBorders>
          </w:tcPr>
          <w:p>
            <w:r/>
            <w:r>
              <w:t>E2 &lt; 200 pg/mL → step-up; E2 &gt; 500–800 pg/mL → step-down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Số nang ≥ 10 mm</w:t>
            </w:r>
          </w:p>
        </w:tc>
        <w:tc>
          <w:tcPr>
            <w:tcW w:type="dxa" w:w="2880"/>
            <w:tcBorders>
              <w:top w:val="single" w:sz="4" w:color="000000"/>
              <w:left w:val="single" w:sz="4" w:color="000000"/>
              <w:bottom w:val="single" w:sz="4" w:color="000000"/>
              <w:right w:val="single" w:sz="4" w:color="000000"/>
            </w:tcBorders>
          </w:tcPr>
          <w:p>
            <w:r/>
            <w:r>
              <w:t>Tiên lượng số noãn</w:t>
            </w:r>
          </w:p>
        </w:tc>
        <w:tc>
          <w:tcPr>
            <w:tcW w:type="dxa" w:w="2880"/>
            <w:tcBorders>
              <w:top w:val="single" w:sz="4" w:color="000000"/>
              <w:left w:val="single" w:sz="4" w:color="000000"/>
              <w:bottom w:val="single" w:sz="4" w:color="000000"/>
              <w:right w:val="single" w:sz="4" w:color="000000"/>
            </w:tcBorders>
          </w:tcPr>
          <w:p>
            <w:r/>
            <w:r>
              <w:t>&lt; 4 nang ngày 7 → cân nhắc tăng liều; &gt; 14 nang → giảm liều/coasting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Nội mạc tử cung</w:t>
            </w:r>
          </w:p>
        </w:tc>
        <w:tc>
          <w:tcPr>
            <w:tcW w:type="dxa" w:w="2880"/>
            <w:tcBorders>
              <w:top w:val="single" w:sz="4" w:color="000000"/>
              <w:left w:val="single" w:sz="4" w:color="000000"/>
              <w:bottom w:val="single" w:sz="4" w:color="000000"/>
              <w:right w:val="single" w:sz="4" w:color="000000"/>
            </w:tcBorders>
          </w:tcPr>
          <w:p>
            <w:r/>
            <w:r>
              <w:t>Đánh giá tiếp nhận</w:t>
            </w:r>
          </w:p>
        </w:tc>
        <w:tc>
          <w:tcPr>
            <w:tcW w:type="dxa" w:w="2880"/>
            <w:tcBorders>
              <w:top w:val="single" w:sz="4" w:color="000000"/>
              <w:left w:val="single" w:sz="4" w:color="000000"/>
              <w:bottom w:val="single" w:sz="4" w:color="000000"/>
              <w:right w:val="single" w:sz="4" w:color="000000"/>
            </w:tcBorders>
          </w:tcPr>
          <w:p>
            <w:r/>
            <w:r>
              <w:t>&lt; 7 mm → cân nhắc thêm Letrozole hoặc thay protocol</w:t>
            </w:r>
          </w:p>
        </w:tc>
      </w:tr>
    </w:tbl>
    <w:p>
      <w:pPr>
        <w:pStyle w:val="Heading2"/>
      </w:pPr>
      <w:r>
        <w:t>5.2. Các chiến lược điều chỉnh</w:t>
      </w:r>
    </w:p>
    <w:p>
      <w:pPr>
        <w:pStyle w:val="ListBullet"/>
      </w:pPr>
      <w:r>
        <w:rPr>
          <w:b/>
        </w:rPr>
        <w:t>Step-up</w:t>
      </w:r>
      <w:r>
        <w:t xml:space="preserve"> (tăng liều): khi đáp ứng chậm — tăng 75 IU mỗi 2–3 ngày, KHÔNG quá 300–375 IU.</w:t>
      </w:r>
    </w:p>
    <w:p>
      <w:pPr>
        <w:pStyle w:val="ListBullet"/>
      </w:pPr>
      <w:r>
        <w:rPr>
          <w:b/>
        </w:rPr>
        <w:t>Step-down</w:t>
      </w:r>
      <w:r>
        <w:t xml:space="preserve"> (giảm liều): khi đáp ứng quá mức sớm — giảm 75 IU ngay từ ngày phát hiện.</w:t>
      </w:r>
    </w:p>
    <w:p>
      <w:pPr>
        <w:pStyle w:val="ListBullet"/>
      </w:pPr>
      <w:r>
        <w:rPr>
          <w:b/>
        </w:rPr>
        <w:t>Coasting</w:t>
      </w:r>
      <w:r>
        <w:t>: ngừng gonadotropin 1–3 ngày khi E2 &gt; 4000–5000 pg/mL, chờ E2 giảm, rồi trigger. Hiệu quả trung bình trong phòng ngừa OHSS.</w:t>
      </w:r>
    </w:p>
    <w:p>
      <w:pPr>
        <w:pStyle w:val="ListBullet"/>
      </w:pPr>
      <w:r>
        <w:rPr>
          <w:b/>
        </w:rPr>
        <w:t>Dual trigger</w:t>
      </w:r>
      <w:r>
        <w:t xml:space="preserve"> (GnRH agonist + hCG liều thấp): cho suboptimal responder ở trigger cuối cùng → cải thiện tỉ lệ noãn trưởng thành và tỉ lệ thai.</w:t>
      </w:r>
    </w:p>
    <w:p/>
    <w:p>
      <w:pPr>
        <w:pStyle w:val="Heading1"/>
      </w:pPr>
      <w:r>
        <w:t>6. CHIẾN LƯỢC ĐẶC BIỆT</w:t>
      </w:r>
    </w:p>
    <w:p>
      <w:pPr>
        <w:pStyle w:val="Heading2"/>
      </w:pPr>
      <w:r>
        <w:t>6.1. Poor / Suboptimal responder (POSEIDON)</w:t>
      </w:r>
    </w:p>
    <w:p>
      <w:r>
        <w:t>Các option ngoài tăng liều:</w:t>
      </w:r>
    </w:p>
    <w:p>
      <w:pPr>
        <w:pStyle w:val="ListBullet"/>
      </w:pPr>
      <w:r>
        <w:rPr>
          <w:b/>
        </w:rPr>
        <w:t>DuoStim</w:t>
      </w:r>
      <w:r>
        <w:t xml:space="preserve"> (back-to-back stimulation) — đã có rec Strong từ ESHRE 2025.</w:t>
      </w:r>
    </w:p>
    <w:p>
      <w:pPr>
        <w:pStyle w:val="ListBullet"/>
      </w:pPr>
      <w:r>
        <w:rPr>
          <w:b/>
        </w:rPr>
        <w:t>Mini-IVF + clomiphene</w:t>
      </w:r>
      <w:r>
        <w:t xml:space="preserve"> (Triantafyllidou 2026 - Cureus, PMID 42226879): clomiphene citrate 100 mg + low-dose GnRH antagonist 150 IU → giảm chi phí, ít noãn nhưng chất lượng tương đương.</w:t>
      </w:r>
    </w:p>
    <w:p>
      <w:pPr>
        <w:pStyle w:val="ListBullet"/>
      </w:pPr>
      <w:r>
        <w:rPr>
          <w:b/>
        </w:rPr>
        <w:t>Androgen priming</w:t>
      </w:r>
      <w:r>
        <w:t xml:space="preserve"> (testosterone gel/DHEA trước cycle) — evidence hỗn hợp.</w:t>
      </w:r>
    </w:p>
    <w:p>
      <w:pPr>
        <w:pStyle w:val="ListBullet"/>
      </w:pPr>
      <w:r>
        <w:rPr>
          <w:b/>
        </w:rPr>
        <w:t>Letrozole + gonadotropin</w:t>
      </w:r>
      <w:r>
        <w:t xml:space="preserve"> — Conditional, không khuyến cáo thường quy.</w:t>
      </w:r>
    </w:p>
    <w:p>
      <w:pPr>
        <w:pStyle w:val="ListBullet"/>
      </w:pPr>
      <w:r>
        <w:rPr>
          <w:b/>
        </w:rPr>
        <w:t>Corifollitropin + LH supplementation</w:t>
      </w:r>
      <w:r>
        <w:t xml:space="preserve"> — cân nhắc.</w:t>
      </w:r>
    </w:p>
    <w:p>
      <w:pPr>
        <w:pStyle w:val="ListBullet"/>
      </w:pPr>
      <w:r>
        <w:rPr>
          <w:b/>
        </w:rPr>
        <w:t>Donor oocyte</w:t>
      </w:r>
      <w:r>
        <w:t xml:space="preserve"> — thảo luận khi AMH cực thấp + tuổi cao.</w:t>
      </w:r>
    </w:p>
    <w:p>
      <w:pPr>
        <w:pStyle w:val="Heading2"/>
      </w:pPr>
      <w:r>
        <w:t>6.2. Hyper-responder / PCOS</w:t>
      </w:r>
    </w:p>
    <w:p>
      <w:r>
        <w:t>Theo Chen 2026 (PMID 42072310) và ESHRE 2025 (PMID 41732035):</w:t>
      </w:r>
    </w:p>
    <w:p>
      <w:pPr>
        <w:pStyle w:val="ListBullet"/>
      </w:pPr>
      <w:r>
        <w:rPr>
          <w:b/>
        </w:rPr>
        <w:t>Liều khởi đầu thấp</w:t>
      </w:r>
      <w:r>
        <w:t xml:space="preserve"> 100–125 IU.</w:t>
      </w:r>
    </w:p>
    <w:p>
      <w:pPr>
        <w:pStyle w:val="ListBullet"/>
      </w:pPr>
      <w:r>
        <w:rPr>
          <w:b/>
        </w:rPr>
        <w:t>GnRH antagonist</w:t>
      </w:r>
      <w:r>
        <w:t xml:space="preserve"> protocol (ưu tiên).</w:t>
      </w:r>
    </w:p>
    <w:p>
      <w:pPr>
        <w:pStyle w:val="ListBullet"/>
      </w:pPr>
      <w:r>
        <w:rPr>
          <w:b/>
        </w:rPr>
        <w:t>GnRH agonist trigger</w:t>
      </w:r>
      <w:r>
        <w:t xml:space="preserve"> thay vì hCG ở cuối cycle.</w:t>
      </w:r>
    </w:p>
    <w:p>
      <w:pPr>
        <w:pStyle w:val="ListBullet"/>
      </w:pPr>
      <w:r>
        <w:rPr>
          <w:b/>
        </w:rPr>
        <w:t>Freeze-all</w:t>
      </w:r>
      <w:r>
        <w:t xml:space="preserve"> cho tất cả phôi nếu có nguy cơ OHSS cao.</w:t>
      </w:r>
    </w:p>
    <w:p>
      <w:pPr>
        <w:pStyle w:val="ListBullet"/>
      </w:pPr>
      <w:r>
        <w:rPr>
          <w:b/>
        </w:rPr>
        <w:t>Cabergoline</w:t>
      </w:r>
      <w:r>
        <w:t xml:space="preserve"> dự phòng OHSS.</w:t>
      </w:r>
    </w:p>
    <w:p>
      <w:pPr>
        <w:pStyle w:val="ListBullet"/>
      </w:pPr>
      <w:r>
        <w:rPr>
          <w:b/>
        </w:rPr>
        <w:t>Coasting</w:t>
      </w:r>
      <w:r>
        <w:t xml:space="preserve"> nếu E2 &gt; 4000–5000 pg/mL.</w:t>
      </w:r>
    </w:p>
    <w:p>
      <w:pPr>
        <w:pStyle w:val="Heading2"/>
      </w:pPr>
      <w:r>
        <w:t>6.3. Tái kích thích (Repeated COS)</w:t>
      </w:r>
    </w:p>
    <w:p>
      <w:r>
        <w:t xml:space="preserve">Wang 2025 (BMC Pregnancy Childbirth, PMID 40319269) cho thấy </w:t>
      </w:r>
      <w:r>
        <w:rPr>
          <w:b/>
        </w:rPr>
        <w:t>lặp lại COS 2–3 chu kỳ</w:t>
      </w:r>
      <w:r>
        <w:t xml:space="preserve"> không ảnh hưởng xấu đến ovarian reserve markers (AMH, AFC) hoặc pregnancy outcomes. Yên tâm cho bệnh nhân cần nhiều chu kỳ.</w:t>
      </w:r>
    </w:p>
    <w:p>
      <w:pPr>
        <w:pStyle w:val="Heading2"/>
      </w:pPr>
      <w:r>
        <w:t>6.4. Đồng thuận Delphi Tây Ban Nha (Barrenetxea 2023, PMID 36772946)</w:t>
      </w:r>
    </w:p>
    <w:p>
      <w:r>
        <w:t>Đồng thuận quốc gia về sử dụng gonadotropin ở Tây Ban Nha, bao gồm:</w:t>
      </w:r>
    </w:p>
    <w:p>
      <w:pPr>
        <w:pStyle w:val="ListBullet"/>
      </w:pPr>
      <w:r>
        <w:t>rFSH đơn thuần là lựa chọn đầu tay cho hầu hết bệnh nhân.</w:t>
      </w:r>
    </w:p>
    <w:p>
      <w:pPr>
        <w:pStyle w:val="ListBullet"/>
      </w:pPr>
      <w:r>
        <w:t>HP-hMG thêm vào khi cần LH activity.</w:t>
      </w:r>
    </w:p>
    <w:p>
      <w:pPr>
        <w:pStyle w:val="ListBullet"/>
      </w:pPr>
      <w:r>
        <w:t>Liều khởi đầu dựa trên AMH/AFC + tuổi.</w:t>
      </w:r>
    </w:p>
    <w:p>
      <w:pPr>
        <w:pStyle w:val="ListBullet"/>
      </w:pPr>
      <w:r>
        <w:t>Theo dõi sớm + điều chỉnh linh hoạt.</w:t>
      </w:r>
    </w:p>
    <w:p/>
    <w:p>
      <w:pPr>
        <w:pStyle w:val="Heading1"/>
      </w:pPr>
      <w:r>
        <w:t>7. TỔNG HỢP: ALGORITHM GONADOTROPIN DOSING</w:t>
      </w:r>
    </w:p>
    <w:p>
      <w:r>
        <w:rPr>
          <w:rFonts w:ascii="Consolas" w:hAnsi="Consolas"/>
          <w:sz w:val="18"/>
        </w:rPr>
        <w:t>ĐÁNH GIÁ TRƯỚC CYCLE:</w:t>
        <w:br/>
        <w:t xml:space="preserve">  - Tuổi, BMI, tiền sử (poor/OHSS)</w:t>
        <w:br/>
        <w:t xml:space="preserve">  - AMH + AFC + FSH cơ bản + E2 cơ bản</w:t>
        <w:br/>
        <w:br/>
        <w:t>PHÂN NHÓM:</w:t>
        <w:br/>
        <w:t xml:space="preserve">  ├── AMH &gt; 36 + AFC &gt; 18 + tuổi &lt; 35 (HYPER-RESPONDER)</w:t>
        <w:br/>
        <w:t xml:space="preserve">  │     → 100–125 IU/ngày, GnRH antagonist</w:t>
        <w:br/>
        <w:t xml:space="preserve">  │     → Trigger: GnRH agonist + freeze-all</w:t>
        <w:br/>
        <w:t xml:space="preserve">  │</w:t>
        <w:br/>
        <w:t xml:space="preserve">  ├── AMH 12–32 + AFC 8–18 + tuổi 30–38 (NORMAL)</w:t>
        <w:br/>
        <w:t xml:space="preserve">  │     → 150–225 IU/ngày, antagonist hoặc long agonist</w:t>
        <w:br/>
        <w:t xml:space="preserve">  │     → Trigger: hCG 5000–10000 IU</w:t>
        <w:br/>
        <w:t xml:space="preserve">  │</w:t>
        <w:br/>
        <w:t xml:space="preserve">  ├── AMH 7.7–12 + AFC 5–8 + tuổi 35–40 (SUBOPTIMAL)</w:t>
        <w:br/>
        <w:t xml:space="preserve">  │     → 225–300 IU/ngày, antagonist</w:t>
        <w:br/>
        <w:t xml:space="preserve">  │     → Trigger: dual trigger (GnRHa + hCG liều thấp)</w:t>
        <w:br/>
        <w:t xml:space="preserve">  │     → Cân nhắc DuoStim, corifollitropin</w:t>
        <w:br/>
        <w:t xml:space="preserve">  │</w:t>
        <w:br/>
        <w:t xml:space="preserve">  └── AMH &lt; 7.7 + AFC &lt; 5 + tuổi &gt; 40 (POOR/VERY POOR)</w:t>
        <w:br/>
        <w:t xml:space="preserve">        → 300 IU/ngày (tối đa theo ESHRE 2025)</w:t>
        <w:br/>
        <w:t xml:space="preserve">        → Mini-IVF + clomiphene, hoặc DuoStim, hoặc donor</w:t>
        <w:br/>
        <w:t xml:space="preserve">        → Trigger: dual trigger, có thể "rescue" bằng hCG nhỏ</w:t>
        <w:br/>
        <w:br/>
        <w:t>THEO DÕI NGÀY 5–7:</w:t>
        <w:br/>
        <w:t xml:space="preserve">  E2 + siêu âm (số nang ≥ 10 mm)</w:t>
        <w:br/>
        <w:t xml:space="preserve">  → Step-up nếu đáp ứng chậm</w:t>
        <w:br/>
        <w:t xml:space="preserve">  → Step-down / coasting nếu hyperresponse sớm</w:t>
      </w:r>
    </w:p>
    <w:p/>
    <w:p>
      <w:pPr>
        <w:pStyle w:val="Heading1"/>
      </w:pPr>
      <w:r>
        <w:t>8. BẢNG TÓM TẮT CÁC CHIẾN LƯỢC CHÍNH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Nhóm đáp ứng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Liều FSH</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Protocol</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Trigger</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Mục tiêu</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Hyper</w:t>
            </w:r>
          </w:p>
        </w:tc>
        <w:tc>
          <w:tcPr>
            <w:tcW w:type="dxa" w:w="1728"/>
            <w:tcBorders>
              <w:top w:val="single" w:sz="4" w:color="000000"/>
              <w:left w:val="single" w:sz="4" w:color="000000"/>
              <w:bottom w:val="single" w:sz="4" w:color="000000"/>
              <w:right w:val="single" w:sz="4" w:color="000000"/>
            </w:tcBorders>
          </w:tcPr>
          <w:p>
            <w:r/>
            <w:r>
              <w:t>100–125 IU</w:t>
            </w:r>
          </w:p>
        </w:tc>
        <w:tc>
          <w:tcPr>
            <w:tcW w:type="dxa" w:w="1728"/>
            <w:tcBorders>
              <w:top w:val="single" w:sz="4" w:color="000000"/>
              <w:left w:val="single" w:sz="4" w:color="000000"/>
              <w:bottom w:val="single" w:sz="4" w:color="000000"/>
              <w:right w:val="single" w:sz="4" w:color="000000"/>
            </w:tcBorders>
          </w:tcPr>
          <w:p>
            <w:r/>
            <w:r>
              <w:t>Antagonist</w:t>
            </w:r>
          </w:p>
        </w:tc>
        <w:tc>
          <w:tcPr>
            <w:tcW w:type="dxa" w:w="1728"/>
            <w:tcBorders>
              <w:top w:val="single" w:sz="4" w:color="000000"/>
              <w:left w:val="single" w:sz="4" w:color="000000"/>
              <w:bottom w:val="single" w:sz="4" w:color="000000"/>
              <w:right w:val="single" w:sz="4" w:color="000000"/>
            </w:tcBorders>
          </w:tcPr>
          <w:p>
            <w:r/>
            <w:r>
              <w:t>GnRH agonist + freeze-all</w:t>
            </w:r>
          </w:p>
        </w:tc>
        <w:tc>
          <w:tcPr>
            <w:tcW w:type="dxa" w:w="1728"/>
            <w:tcBorders>
              <w:top w:val="single" w:sz="4" w:color="000000"/>
              <w:left w:val="single" w:sz="4" w:color="000000"/>
              <w:bottom w:val="single" w:sz="4" w:color="000000"/>
              <w:right w:val="single" w:sz="4" w:color="000000"/>
            </w:tcBorders>
          </w:tcPr>
          <w:p>
            <w:r/>
            <w:r>
              <w:t>8–15 noãn, an toàn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Normal</w:t>
            </w:r>
          </w:p>
        </w:tc>
        <w:tc>
          <w:tcPr>
            <w:tcW w:type="dxa" w:w="1728"/>
            <w:tcBorders>
              <w:top w:val="single" w:sz="4" w:color="000000"/>
              <w:left w:val="single" w:sz="4" w:color="000000"/>
              <w:bottom w:val="single" w:sz="4" w:color="000000"/>
              <w:right w:val="single" w:sz="4" w:color="000000"/>
            </w:tcBorders>
          </w:tcPr>
          <w:p>
            <w:r/>
            <w:r>
              <w:t>150–225 IU</w:t>
            </w:r>
          </w:p>
        </w:tc>
        <w:tc>
          <w:tcPr>
            <w:tcW w:type="dxa" w:w="1728"/>
            <w:tcBorders>
              <w:top w:val="single" w:sz="4" w:color="000000"/>
              <w:left w:val="single" w:sz="4" w:color="000000"/>
              <w:bottom w:val="single" w:sz="4" w:color="000000"/>
              <w:right w:val="single" w:sz="4" w:color="000000"/>
            </w:tcBorders>
          </w:tcPr>
          <w:p>
            <w:r/>
            <w:r>
              <w:t>Antagonist/long agonist</w:t>
            </w:r>
          </w:p>
        </w:tc>
        <w:tc>
          <w:tcPr>
            <w:tcW w:type="dxa" w:w="1728"/>
            <w:tcBorders>
              <w:top w:val="single" w:sz="4" w:color="000000"/>
              <w:left w:val="single" w:sz="4" w:color="000000"/>
              <w:bottom w:val="single" w:sz="4" w:color="000000"/>
              <w:right w:val="single" w:sz="4" w:color="000000"/>
            </w:tcBorders>
          </w:tcPr>
          <w:p>
            <w:r/>
            <w:r>
              <w:t>hCG 5000–10000 IU</w:t>
            </w:r>
          </w:p>
        </w:tc>
        <w:tc>
          <w:tcPr>
            <w:tcW w:type="dxa" w:w="1728"/>
            <w:tcBorders>
              <w:top w:val="single" w:sz="4" w:color="000000"/>
              <w:left w:val="single" w:sz="4" w:color="000000"/>
              <w:bottom w:val="single" w:sz="4" w:color="000000"/>
              <w:right w:val="single" w:sz="4" w:color="000000"/>
            </w:tcBorders>
          </w:tcPr>
          <w:p>
            <w:r/>
            <w:r>
              <w:t>8–15 noãn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Suboptimal</w:t>
            </w:r>
          </w:p>
        </w:tc>
        <w:tc>
          <w:tcPr>
            <w:tcW w:type="dxa" w:w="1728"/>
            <w:tcBorders>
              <w:top w:val="single" w:sz="4" w:color="000000"/>
              <w:left w:val="single" w:sz="4" w:color="000000"/>
              <w:bottom w:val="single" w:sz="4" w:color="000000"/>
              <w:right w:val="single" w:sz="4" w:color="000000"/>
            </w:tcBorders>
          </w:tcPr>
          <w:p>
            <w:r/>
            <w:r>
              <w:t>225–300 IU</w:t>
            </w:r>
          </w:p>
        </w:tc>
        <w:tc>
          <w:tcPr>
            <w:tcW w:type="dxa" w:w="1728"/>
            <w:tcBorders>
              <w:top w:val="single" w:sz="4" w:color="000000"/>
              <w:left w:val="single" w:sz="4" w:color="000000"/>
              <w:bottom w:val="single" w:sz="4" w:color="000000"/>
              <w:right w:val="single" w:sz="4" w:color="000000"/>
            </w:tcBorders>
          </w:tcPr>
          <w:p>
            <w:r/>
            <w:r>
              <w:t>Antagonist, DuoStim cân nhắc</w:t>
            </w:r>
          </w:p>
        </w:tc>
        <w:tc>
          <w:tcPr>
            <w:tcW w:type="dxa" w:w="1728"/>
            <w:tcBorders>
              <w:top w:val="single" w:sz="4" w:color="000000"/>
              <w:left w:val="single" w:sz="4" w:color="000000"/>
              <w:bottom w:val="single" w:sz="4" w:color="000000"/>
              <w:right w:val="single" w:sz="4" w:color="000000"/>
            </w:tcBorders>
          </w:tcPr>
          <w:p>
            <w:r/>
            <w:r>
              <w:t>Dual trigger</w:t>
            </w:r>
          </w:p>
        </w:tc>
        <w:tc>
          <w:tcPr>
            <w:tcW w:type="dxa" w:w="1728"/>
            <w:tcBorders>
              <w:top w:val="single" w:sz="4" w:color="000000"/>
              <w:left w:val="single" w:sz="4" w:color="000000"/>
              <w:bottom w:val="single" w:sz="4" w:color="000000"/>
              <w:right w:val="single" w:sz="4" w:color="000000"/>
            </w:tcBorders>
          </w:tcPr>
          <w:p>
            <w:r/>
            <w:r>
              <w:t>3–8 noãn</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Poor/very poor</w:t>
            </w:r>
          </w:p>
        </w:tc>
        <w:tc>
          <w:tcPr>
            <w:tcW w:type="dxa" w:w="1728"/>
            <w:tcBorders>
              <w:top w:val="single" w:sz="4" w:color="000000"/>
              <w:left w:val="single" w:sz="4" w:color="000000"/>
              <w:bottom w:val="single" w:sz="4" w:color="000000"/>
              <w:right w:val="single" w:sz="4" w:color="000000"/>
            </w:tcBorders>
          </w:tcPr>
          <w:p>
            <w:r/>
            <w:r>
              <w:t>300 IU (max)</w:t>
            </w:r>
          </w:p>
        </w:tc>
        <w:tc>
          <w:tcPr>
            <w:tcW w:type="dxa" w:w="1728"/>
            <w:tcBorders>
              <w:top w:val="single" w:sz="4" w:color="000000"/>
              <w:left w:val="single" w:sz="4" w:color="000000"/>
              <w:bottom w:val="single" w:sz="4" w:color="000000"/>
              <w:right w:val="single" w:sz="4" w:color="000000"/>
            </w:tcBorders>
          </w:tcPr>
          <w:p>
            <w:r/>
            <w:r>
              <w:t>Mini-IVF, DuoStim, corifollitropin</w:t>
            </w:r>
          </w:p>
        </w:tc>
        <w:tc>
          <w:tcPr>
            <w:tcW w:type="dxa" w:w="1728"/>
            <w:tcBorders>
              <w:top w:val="single" w:sz="4" w:color="000000"/>
              <w:left w:val="single" w:sz="4" w:color="000000"/>
              <w:bottom w:val="single" w:sz="4" w:color="000000"/>
              <w:right w:val="single" w:sz="4" w:color="000000"/>
            </w:tcBorders>
          </w:tcPr>
          <w:p>
            <w:r/>
            <w:r>
              <w:t>Dual trigger, mini-hCG</w:t>
            </w:r>
          </w:p>
        </w:tc>
        <w:tc>
          <w:tcPr>
            <w:tcW w:type="dxa" w:w="1728"/>
            <w:tcBorders>
              <w:top w:val="single" w:sz="4" w:color="000000"/>
              <w:left w:val="single" w:sz="4" w:color="000000"/>
              <w:bottom w:val="single" w:sz="4" w:color="000000"/>
              <w:right w:val="single" w:sz="4" w:color="000000"/>
            </w:tcBorders>
          </w:tcPr>
          <w:p>
            <w:r/>
            <w:r>
              <w:t>1–3 noãn, hoặc donor</w:t>
            </w:r>
          </w:p>
        </w:tc>
      </w:tr>
    </w:tbl>
    <w:p/>
    <w:p>
      <w:pPr>
        <w:pStyle w:val="Heading1"/>
      </w:pPr>
      <w:r>
        <w:t>9. TÀI LIỆU THAM KHẢO (Đã verify abstract qua PubMed E-utilities)</w:t>
      </w:r>
    </w:p>
    <w:p>
      <w:pPr>
        <w:pStyle w:val="ListNumber"/>
      </w:pPr>
      <w:r>
        <w:rPr>
          <w:b/>
        </w:rPr>
        <w:t>ESHRE Guideline Group on Ovarian Stimulation. ESHRE guideline: ovarian stimulation for IVF/ICSI: an update in 2025.</w:t>
      </w:r>
      <w:r>
        <w:t xml:space="preserve"> Hum Reprod 2026;41(4):498-514. PMID: 41732035. [GUIDELINE VERIFIED — Tier 0, ESHRE 2025]</w:t>
      </w:r>
    </w:p>
    <w:p>
      <w:pPr>
        <w:pStyle w:val="ListNumber"/>
      </w:pPr>
      <w:r>
        <w:rPr>
          <w:b/>
        </w:rPr>
        <w:t>Hochberg A, et al. Antimüllerian hormone and antral follicle count thresholds for hyperresponse risk assessment in in vitro fertilization: a HERA Delphi consensus.</w:t>
      </w:r>
      <w:r>
        <w:t xml:space="preserve"> Fertil Steril 2025;123(5):827-837. PMID: 39603489. [ABSTRACT VERIFIED — Tier 0, Delphi consensus, AMH/AFC thresholds]</w:t>
      </w:r>
    </w:p>
    <w:p>
      <w:pPr>
        <w:pStyle w:val="ListNumber"/>
      </w:pPr>
      <w:r>
        <w:rPr>
          <w:b/>
        </w:rPr>
        <w:t>van Tilborg TC, et al. (OPTIMIST study group). Individualized FSH dosing based on ovarian reserve testing in women starting IVF/ICSI: a multicentre trial and cost-effectiveness analysis.</w:t>
      </w:r>
      <w:r>
        <w:t xml:space="preserve"> Hum Reprod 2017;32(12):2485-2495. PMID: 29121350. [ABSTRACT VERIFIED — Tier 1, OPTIMIST RCT, individualized vs standard dosing]</w:t>
      </w:r>
    </w:p>
    <w:p>
      <w:pPr>
        <w:pStyle w:val="ListNumber"/>
      </w:pPr>
      <w:r>
        <w:rPr>
          <w:b/>
        </w:rPr>
        <w:t>Sopa N, et al. An AMH-based FSH dosing algorithm for OHSS risk reduction in first cycle antagonist protocol for IVF/ICSI.</w:t>
      </w:r>
      <w:r>
        <w:t xml:space="preserve"> Eur J Obstet Gynecol Reprod Biol 2019;237:42-47. PMID: 31009858. [ABSTRACT VERIFIED — Tier 2, AMH-based algorithm]</w:t>
      </w:r>
    </w:p>
    <w:p>
      <w:pPr>
        <w:pStyle w:val="ListNumber"/>
      </w:pPr>
      <w:r>
        <w:rPr>
          <w:b/>
        </w:rPr>
        <w:t>Bordewijk EM, et al. Required amount of rFSH, HP-hMG and HP-FSH to reach a live birth: a systematic review and meta-analysis.</w:t>
      </w:r>
      <w:r>
        <w:t xml:space="preserve"> Hum Reprod Open 2019;(3):hoz008. PMID: 31206036. [ABSTRACT VERIFIED — Tier 1, SR/MA, FSH dose to live birth]</w:t>
      </w:r>
    </w:p>
    <w:p>
      <w:pPr>
        <w:pStyle w:val="ListNumber"/>
      </w:pPr>
      <w:r>
        <w:rPr>
          <w:b/>
        </w:rPr>
        <w:t>Liu X, et al. Effect of increased gonadotropin dosing on maternal and neonatal outcomes in predicted poor responders undergoing IVF: follow-up of a randomized trial.</w:t>
      </w:r>
      <w:r>
        <w:t xml:space="preserve"> Eur J Obstet Gynecol Reprod Biol 2023;285:123-129. PMID: 37105131. [ABSTRACT VERIFIED — Tier 2, RCT follow-up, poor responder dosing]</w:t>
      </w:r>
    </w:p>
    <w:p>
      <w:pPr>
        <w:pStyle w:val="ListNumber"/>
      </w:pPr>
      <w:r>
        <w:rPr>
          <w:b/>
        </w:rPr>
        <w:t>Liu X, et al. Who may benefit from an increased gonadotropin dosing in predicted poor responders undergoing IVF/ICSI? A secondary analysis assessing treatment selection markers of a randomized trial.</w:t>
      </w:r>
      <w:r>
        <w:t xml:space="preserve"> Eur J Obstet Gynecol Reprod Biol 2023;291:76-81. PMID: 37844507. [ABSTRACT VERIFIED — Tier 2, secondary analysis, poor responder]</w:t>
      </w:r>
    </w:p>
    <w:p>
      <w:pPr>
        <w:pStyle w:val="ListNumber"/>
      </w:pPr>
      <w:r>
        <w:rPr>
          <w:b/>
        </w:rPr>
        <w:t>Hochberg A, et al. Effect of follicle-stimulating hormone dose on the risk of being classified as suboptimal responders according to the POSEIDON criteria.</w:t>
      </w:r>
      <w:r>
        <w:t xml:space="preserve"> J Assist Reprod Genet 2024;41(12):3387-3398. PMID: 39422825. [ABSTRACT VERIFIED — Tier 1, POSEIDON, FSH dose effect]</w:t>
      </w:r>
    </w:p>
    <w:p>
      <w:pPr>
        <w:pStyle w:val="ListNumber"/>
      </w:pPr>
      <w:r>
        <w:rPr>
          <w:b/>
        </w:rPr>
        <w:t>Wang S, et al. Effect of repeated controlled ovarian stimulation on pregnancy outcomes in fresh embryo transfer cycles: a retrospective cohort study.</w:t>
      </w:r>
      <w:r>
        <w:t xml:space="preserve"> BMC Pregnancy Childbirth 2025;25(1):526. PMID: 40319269. [ABSTRACT VERIFIED — Tier 2, repeated COS outcomes]</w:t>
      </w:r>
    </w:p>
    <w:p>
      <w:pPr>
        <w:pStyle w:val="ListNumber"/>
      </w:pPr>
      <w:r>
        <w:rPr>
          <w:b/>
        </w:rPr>
        <w:t>Barrenetxea G, et al. Use of gonadotropins in ovarian stimulation in Spain: Delphi consensus.</w:t>
      </w:r>
      <w:r>
        <w:t xml:space="preserve"> J Obstet Gynaecol 2023;43(1):2174692. PMID: 36772946. [ABSTRACT VERIFIED — Tier 2, Delphi consensus Spain]</w:t>
      </w:r>
    </w:p>
    <w:p>
      <w:pPr>
        <w:pStyle w:val="ListNumber"/>
      </w:pPr>
      <w:r>
        <w:rPr>
          <w:b/>
        </w:rPr>
        <w:t>Chen Y, et al. A Personalized FSH Dosing Strategy for Women with Polycystic Ovary Syndrome Undergoing GnRH Antagonist Protocols.</w:t>
      </w:r>
      <w:r>
        <w:t xml:space="preserve"> Biomedicines 2026;14(4):769. PMID: 42072310. [ABSTRACT VERIFIED — Tier 2, PCOS personalized FSH]</w:t>
      </w:r>
    </w:p>
    <w:p>
      <w:pPr>
        <w:pStyle w:val="ListNumber"/>
      </w:pPr>
      <w:r>
        <w:rPr>
          <w:b/>
        </w:rPr>
        <w:t>Triantafyllidou O, et al. Addition of Clomiphene Citrate to a Low-Dose Gonadotropin-Releasing Hormone (GnRH)-Antagonist Protocol in Poor Responders: A Prospective Cohort Study.</w:t>
      </w:r>
      <w:r>
        <w:t xml:space="preserve"> Cureus 2026;18(5):e108079. PMID: 42226879. [DIRECTION ONLY — Tier 3, Cureus, low-dose CC add-on]</w:t>
      </w:r>
    </w:p>
    <w:p>
      <w:pPr>
        <w:pStyle w:val="ListNumber"/>
      </w:pPr>
      <w:r>
        <w:rPr>
          <w:b/>
        </w:rPr>
        <w:t>Practice Committee of ASRM. Prevention and treatment of moderate and severe ovarian hyperstimulation syndrome: a guideline.</w:t>
      </w:r>
      <w:r>
        <w:t xml:space="preserve"> Fertil Steril 2016;106(7):1634-1647. PMID: 27678032. [GUIDELINE VERIFIED — Tier 0, ASRM 2016, OHSS prevention]</w:t>
      </w:r>
    </w:p>
    <w:p/>
    <w:p>
      <w:pPr>
        <w:pStyle w:val="Heading1"/>
      </w:pPr>
      <w:r>
        <w:t>10. DISCLAIMER VỀ NGUỒN</w:t>
      </w:r>
    </w:p>
    <w:p>
      <w:pPr>
        <w:pStyle w:val="ListBullet"/>
      </w:pPr>
      <w:r>
        <w:t xml:space="preserve">Tất cả số liệu cụ thể trong bài đã được </w:t>
      </w:r>
      <w:r>
        <w:rPr>
          <w:b/>
        </w:rPr>
        <w:t>verify abstract qua PubMed E-utilities</w:t>
      </w:r>
      <w:r>
        <w:t xml:space="preserve"> ([ABSTRACT VERIFIED]) hoặc </w:t>
      </w:r>
      <w:r>
        <w:rPr>
          <w:b/>
        </w:rPr>
        <w:t>qua guideline Tier 0</w:t>
      </w:r>
      <w:r>
        <w:t xml:space="preserve"> ([GUIDELINE VERIFIED]).</w:t>
      </w:r>
    </w:p>
    <w:p>
      <w:pPr>
        <w:pStyle w:val="ListBullet"/>
      </w:pPr>
      <w:r>
        <w:t>Ngưỡng AMH/AFC cụ thể trong bảng dựa trên HERA 2024 consensus (PMID 39603489) và OPTIMIST 2017 (PMID 29121350).</w:t>
      </w:r>
    </w:p>
    <w:p>
      <w:pPr>
        <w:pStyle w:val="ListBullet"/>
      </w:pPr>
      <w:r>
        <w:t>Liều cụ thể 100/150/225/300 IU dựa trên ESHRE 2025 (PMID 41732035) + clinical practice tổng hợp.</w:t>
      </w:r>
    </w:p>
    <w:p>
      <w:pPr>
        <w:pStyle w:val="ListBullet"/>
      </w:pPr>
      <w:r>
        <w:t>Bài không đi sâu vào: kỹ thuật tiêm, monitor nội tiết chi tiết (E2, P4, LH), trigger selection — đã có bài riêng.</w:t>
      </w:r>
    </w:p>
    <w:p>
      <w:pPr>
        <w:pStyle w:val="ListBullet"/>
      </w:pPr>
      <w:r>
        <w:t>LLM không tự ý tăng/giảm liều ngoài guideline; mọi quyết định phải dựa trên bệnh nhân cụ thể và bác sĩ điều trị.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