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 Trigger Mechanism &amp; Protocol</w:t>
      </w:r>
    </w:p>
    <w:p>
      <w:pPr>
        <w:pStyle w:val="Title"/>
      </w:pPr>
      <w:r>
        <w:t>ART Trigger Mechanism Protocol Lecture — Bài 18</w:t>
      </w:r>
    </w:p>
    <w:p>
      <w:pPr>
        <w:ind w:left="567"/>
      </w:pPr>
      <w:r>
        <w:rPr>
          <w:b/>
          <w:i/>
        </w:rPr>
        <w:t>Ngày tạo:</w:t>
      </w:r>
      <w:r>
        <w:rPr>
          <w:i/>
        </w:rPr>
        <w:t xml:space="preserve"> 2026-06-27 · </w:t>
      </w:r>
      <w:r>
        <w:rPr>
          <w:b/>
          <w:i/>
        </w:rPr>
        <w:t>Chuyên đề:</w:t>
      </w:r>
      <w:r>
        <w:rPr>
          <w:i/>
        </w:rPr>
        <w:t xml:space="preserve"> Hỗ trợ sinh sản (ART) — Kích thích buồng trứng &amp; Trigger</w:t>
      </w:r>
    </w:p>
    <w:p>
      <w:pPr>
        <w:ind w:left="567"/>
      </w:pPr>
      <w:r>
        <w:rPr>
          <w:b/>
          <w:i/>
        </w:rPr>
        <w:t>Phạm vi:</w:t>
      </w:r>
      <w:r>
        <w:rPr>
          <w:i/>
        </w:rPr>
        <w:t xml:space="preserve"> Cơ chế LH/hCG signaling trên nang noãn, các phác đồ trigger (hCG đơn thuần, GnRHa đơn thuần, dual trigger, double trigger, kisspeptin), hỗ trợ hoàng thể (LPS) sau GnRHa trigger, OHSS prevention, hướng dẫn ESHRE 2025.</w:t>
      </w:r>
    </w:p>
    <w:p>
      <w:pPr>
        <w:ind w:left="567"/>
      </w:pPr>
      <w:r>
        <w:rPr>
          <w:b/>
          <w:i/>
        </w:rPr>
        <w:t>Đối tượng:</w:t>
      </w:r>
      <w:r>
        <w:rPr>
          <w:i/>
        </w:rPr>
        <w:t xml:space="preserve"> Bác sĩ sản phụ khoa, học viên chuyên ngành Hỗ trợ sinh sản.</w:t>
      </w:r>
    </w:p>
    <w:p/>
    <w:p>
      <w:pPr>
        <w:pStyle w:val="Heading1"/>
      </w:pPr>
      <w:r>
        <w:t>1. Tổng quan &amp; Bối cảnh lâm sàng</w:t>
      </w:r>
    </w:p>
    <w:p>
      <w:r>
        <w:t xml:space="preserve">"Trigger" (kích hoạt) trong ART là bước cuối cùng của quá trình kích thích buồng trứng có kiểm soát (COH): dùng một loại thuốc để </w:t>
      </w:r>
      <w:r>
        <w:rPr>
          <w:b/>
        </w:rPr>
        <w:t>tái khởi động giảm phân (meiosis resumption)</w:t>
      </w:r>
      <w:r>
        <w:t xml:space="preserve"> của noãn, mô phỏng đỉnh LH tự nhiên giữa chu kỳ. Bước này quyết định:</w:t>
      </w:r>
    </w:p>
    <w:p>
      <w:pPr>
        <w:pStyle w:val="ListNumber"/>
      </w:pPr>
      <w:r>
        <w:rPr>
          <w:b/>
        </w:rPr>
        <w:t>Chất lượng noãn</w:t>
      </w:r>
      <w:r>
        <w:t xml:space="preserve"> — noãn trưởng thành (MII) hay bất thường (MI, GV).</w:t>
      </w:r>
    </w:p>
    <w:p>
      <w:pPr>
        <w:pStyle w:val="ListNumber"/>
      </w:pPr>
      <w:r>
        <w:rPr>
          <w:b/>
        </w:rPr>
        <w:t>Tỷ lệ thụ tinh &amp; phôi</w:t>
      </w:r>
      <w:r>
        <w:t xml:space="preserve"> — ảnh hưởng đến tỷ lệ 2PN, blastocyst, euploid.</w:t>
      </w:r>
    </w:p>
    <w:p>
      <w:pPr>
        <w:pStyle w:val="ListNumber"/>
      </w:pPr>
      <w:r>
        <w:rPr>
          <w:b/>
        </w:rPr>
        <w:t>Hội chứng quá kích buồng trứng (OHSS)</w:t>
      </w:r>
      <w:r>
        <w:t xml:space="preserve"> — biến chứng đe dọa tính mạng nếu chọn sai trigger.</w:t>
      </w:r>
    </w:p>
    <w:p>
      <w:pPr>
        <w:pStyle w:val="ListNumber"/>
      </w:pPr>
      <w:r>
        <w:rPr>
          <w:b/>
        </w:rPr>
        <w:t>Hỗ trợ hoàng thể (Luteal Phase Support - LPS)</w:t>
      </w:r>
      <w:r>
        <w:t xml:space="preserve"> — quyết định tỷ lệ làm tổ khi chuyển phôi tươi.</w:t>
      </w:r>
    </w:p>
    <w:p>
      <w:r>
        <w:t>Hai phác đồ nền tảng trong COH hiện đại:</w:t>
      </w:r>
    </w:p>
    <w:p>
      <w:pPr>
        <w:pStyle w:val="ListBullet"/>
      </w:pPr>
      <w:r>
        <w:rPr>
          <w:b/>
        </w:rPr>
        <w:t>Long GnRH agonist protocol</w:t>
      </w:r>
      <w:r>
        <w:t xml:space="preserve"> — suppress sớm, dùng hCG trigger gần như bắt buộc (vì pituitary đã bị down-regulation, GnRHa không còn tác dụng).</w:t>
      </w:r>
    </w:p>
    <w:p>
      <w:pPr>
        <w:pStyle w:val="ListBullet"/>
      </w:pPr>
      <w:r>
        <w:rPr>
          <w:b/>
        </w:rPr>
        <w:t>GnRH antagonist protocol</w:t>
      </w:r>
      <w:r>
        <w:t xml:space="preserve"> — suppress muộn, </w:t>
      </w:r>
      <w:r>
        <w:rPr>
          <w:b/>
        </w:rPr>
        <w:t>cho phép chọn trigger linh hoạt</w:t>
      </w:r>
      <w:r>
        <w:t>: hCG, GnRHa, dual, double, kisspeptin.</w:t>
      </w:r>
    </w:p>
    <w:p>
      <w:r>
        <w:t xml:space="preserve">ESHRE 2025 guideline (PMID 41732035, Hum Reprod 2026) khuyến cáo </w:t>
      </w:r>
      <w:r>
        <w:rPr>
          <w:b/>
        </w:rPr>
        <w:t>GnRH antagonist &gt; GnRH agonist long</w:t>
      </w:r>
      <w:r>
        <w:t xml:space="preserve"> cho general IVF population (Strong recommendation), mở đường cho các trigger linh hoạt hơn.</w:t>
      </w:r>
    </w:p>
    <w:p/>
    <w:p>
      <w:pPr>
        <w:pStyle w:val="Heading1"/>
      </w:pPr>
      <w:r>
        <w:t>2. Cơ chế phân tử (Molecular pathway)</w:t>
      </w:r>
    </w:p>
    <w:p>
      <w:pPr>
        <w:pStyle w:val="Heading2"/>
      </w:pPr>
      <w:r>
        <w:t>2.1 Vai trò của đỉnh LH tự nhiên trong chu kỳ tự nhiên</w:t>
      </w:r>
    </w:p>
    <w:p>
      <w:r>
        <w:t xml:space="preserve">Trong chu kỳ tự nhiên, </w:t>
      </w:r>
      <w:r>
        <w:rPr>
          <w:b/>
        </w:rPr>
        <w:t>đỉnh LH giữa chu kỳ</w:t>
      </w:r>
      <w:r>
        <w:t xml:space="preserve"> (mid-cycle LH surge) thực hiện 3 việc đồng thời:</w:t>
      </w:r>
    </w:p>
    <w:p>
      <w:pPr>
        <w:pStyle w:val="ListNumber"/>
      </w:pPr>
      <w:r>
        <w:rPr>
          <w:b/>
        </w:rPr>
        <w:t>Tái khởi động giảm phân</w:t>
      </w:r>
      <w:r>
        <w:t xml:space="preserve"> ở noãn (meiosis I → II).</w:t>
      </w:r>
    </w:p>
    <w:p>
      <w:pPr>
        <w:pStyle w:val="ListNumber"/>
      </w:pPr>
      <w:r>
        <w:rPr>
          <w:b/>
        </w:rPr>
        <w:t>Vỡ nang noãn (follicular rupture)</w:t>
      </w:r>
      <w:r>
        <w:t xml:space="preserve"> — phóng noãn ~36h sau đỉnh LH.</w:t>
      </w:r>
    </w:p>
    <w:p>
      <w:pPr>
        <w:pStyle w:val="ListNumber"/>
      </w:pPr>
      <w:r>
        <w:rPr>
          <w:b/>
        </w:rPr>
        <w:t>Hoàng thể hóa (luteinization)</w:t>
      </w:r>
      <w:r>
        <w:t xml:space="preserve"> tế bào hạt &amp; vỏ nang — tạo thể vàng sản xuất progesterone &amp; estradiol hỗ trợ nội mạc tử cung.</w:t>
      </w:r>
    </w:p>
    <w:p>
      <w:pPr>
        <w:pStyle w:val="Heading2"/>
      </w:pPr>
      <w:r>
        <w:t>2.2 Receptor LHCGR (LH/hCG receptor)</w:t>
      </w:r>
    </w:p>
    <w:p>
      <w:r>
        <w:rPr>
          <w:rFonts w:ascii="Consolas" w:hAnsi="Consolas"/>
        </w:rPr>
        <w:t>LHCGR</w:t>
      </w:r>
      <w:r>
        <w:t xml:space="preserve"> là receptor 7-transmembrane GPCR hiện diện trên:</w:t>
      </w:r>
    </w:p>
    <w:p>
      <w:pPr>
        <w:pStyle w:val="ListBullet"/>
      </w:pPr>
      <w:r>
        <w:rPr>
          <w:b/>
        </w:rPr>
        <w:t>Tế bào vỏ nang (theca)</w:t>
      </w:r>
      <w:r>
        <w:t xml:space="preserve"> — tăng sản xuất androgen (qua cAMP-PKA).</w:t>
      </w:r>
    </w:p>
    <w:p>
      <w:pPr>
        <w:pStyle w:val="ListBullet"/>
      </w:pPr>
      <w:r>
        <w:rPr>
          <w:b/>
        </w:rPr>
        <w:t>Tế bào hạt (granulosa)</w:t>
      </w:r>
      <w:r>
        <w:t xml:space="preserve"> — tăng aromatase, sản xuất estradiol, tạo gap junction với noãn.</w:t>
      </w:r>
    </w:p>
    <w:p>
      <w:pPr>
        <w:pStyle w:val="ListBullet"/>
      </w:pPr>
      <w:r>
        <w:rPr>
          <w:b/>
        </w:rPr>
        <w:t>Tế bào cumulus oophorus</w:t>
      </w:r>
      <w:r>
        <w:t xml:space="preserve"> — giãn rộng (mucification), tạo điều kiện cho noãn phóng thích.</w:t>
      </w:r>
    </w:p>
    <w:p>
      <w:r>
        <w:rPr>
          <w:b/>
        </w:rPr>
        <w:t>Khác biệt LH vs hCG:</w:t>
      </w:r>
    </w:p>
    <w:p>
      <w:pPr>
        <w:pStyle w:val="ListBullet"/>
      </w:pPr>
      <w:r>
        <w:t>LH: t1/2 ~20-30 phút, đỉnh kéo dài ~48h.</w:t>
      </w:r>
    </w:p>
    <w:p>
      <w:pPr>
        <w:pStyle w:val="ListBullet"/>
      </w:pPr>
      <w:r>
        <w:t>hCG: t1/2 ~24-36 giờ (gấp 30-50 lần LH), hoạt tính kéo dài ~6-7 ngày — vì có CTP tail (carboxyl-terminal peptide) chứa nhiều proline-O-linked glycosylation.</w:t>
      </w:r>
    </w:p>
    <w:p>
      <w:r>
        <w:t xml:space="preserve">Hệ quả: hCG kích thích hoàng thể </w:t>
      </w:r>
      <w:r>
        <w:rPr>
          <w:b/>
        </w:rPr>
        <w:t>mạnh và kéo dài hơn LH</w:t>
      </w:r>
      <w:r>
        <w:t xml:space="preserve"> → dễ gây OHSS (vì tiếp tục kích thích VEGF từ hoàng thể non). Nhưng cũng vì thế, LPS sau hCG trigger dễ hơn (đã có hCG nội sinh).</w:t>
      </w:r>
    </w:p>
    <w:p>
      <w:pPr>
        <w:pStyle w:val="Heading2"/>
      </w:pPr>
      <w:r>
        <w:t>2.3 Con đường tín hiệu (Signaling cascade)</w:t>
      </w:r>
    </w:p>
    <w:p>
      <w:r>
        <w:rPr>
          <w:rFonts w:ascii="Consolas" w:hAnsi="Consolas"/>
          <w:sz w:val="18"/>
        </w:rPr>
        <w:t>LH/hCG → LHCGR (GPCR)</w:t>
        <w:br/>
        <w:t xml:space="preserve">  ↓</w:t>
        <w:br/>
        <w:t>Gαs → Adenylyl cyclase → cAMP ↑</w:t>
        <w:br/>
        <w:t xml:space="preserve">  ↓</w:t>
        <w:br/>
        <w:t>PKA → CREB phosphorylation</w:t>
        <w:br/>
        <w:t xml:space="preserve">  ↓</w:t>
        <w:br/>
        <w:t>Gene targets:</w:t>
        <w:br/>
        <w:t xml:space="preserve">  - EGF-like factors (AREG, EREG) → kích hoạt EGFR trên cumulus</w:t>
        <w:br/>
        <w:t xml:space="preserve">  - Steroidogenic enzymes (CYP19A1/aromatase, STAR, 3β-HSD)</w:t>
        <w:br/>
        <w:t xml:space="preserve">  - VEGF (tăng trong OHSS)</w:t>
        <w:br/>
        <w:t xml:space="preserve">  ↓</w:t>
        <w:br/>
        <w:t>Meiotic resumption + luteinization</w:t>
      </w:r>
    </w:p>
    <w:p>
      <w:r>
        <w:t xml:space="preserve">Đặc biệt, </w:t>
      </w:r>
      <w:r>
        <w:rPr>
          <w:b/>
        </w:rPr>
        <w:t>Casarini 2012 (PLoS ONE, PMID 23071612)</w:t>
      </w:r>
      <w:r>
        <w:t xml:space="preserve"> cho thấy LH và hCG tuy cùng receptor nhưng </w:t>
      </w:r>
      <w:r>
        <w:rPr>
          <w:b/>
        </w:rPr>
        <w:t>quantitatively và qualitatively khác nhau</w:t>
      </w:r>
      <w:r>
        <w:t>: hCG tạo signal bền hơn (ít pulsatile), trong khi LH tạo signal ngắn hơn nhưng mạnh — đây là lý do hCG kéo dài hoàng thể, dễ OHSS hơn.</w:t>
      </w:r>
    </w:p>
    <w:p>
      <w:pPr>
        <w:pStyle w:val="Heading2"/>
      </w:pPr>
      <w:r>
        <w:t>2.4 Tại sao GnRHa trigger cũng hoạt động?</w:t>
      </w:r>
    </w:p>
    <w:p>
      <w:r>
        <w:t xml:space="preserve">Trong protocol antagonist, pituitary vẫn còn nhạy cảm với GnRH. GnRH agonist liều cao (leuprolide/triptorelin 0.2-0.5 mg) gây </w:t>
      </w:r>
      <w:r>
        <w:rPr>
          <w:b/>
        </w:rPr>
        <w:t>"flare effect"</w:t>
      </w:r>
      <w:r>
        <w:t xml:space="preserve"> — tăng LH &amp; FSH nội sinh trong 24-36 giờ. Đỉnh LH này:</w:t>
      </w:r>
    </w:p>
    <w:p>
      <w:pPr>
        <w:pStyle w:val="ListBullet"/>
      </w:pPr>
      <w:r>
        <w:rPr>
          <w:b/>
        </w:rPr>
        <w:t>Đủ</w:t>
      </w:r>
      <w:r>
        <w:t xml:space="preserve"> kích hoạt meiosis resumption (vì LH nội sinh đủ mạnh).</w:t>
      </w:r>
    </w:p>
    <w:p>
      <w:pPr>
        <w:pStyle w:val="ListBullet"/>
      </w:pPr>
      <w:r>
        <w:rPr>
          <w:b/>
        </w:rPr>
        <w:t>Không kéo dài</w:t>
      </w:r>
      <w:r>
        <w:t xml:space="preserve"> → </w:t>
      </w:r>
      <w:r>
        <w:rPr>
          <w:b/>
        </w:rPr>
        <w:t>không</w:t>
      </w:r>
      <w:r>
        <w:t xml:space="preserve"> kích thích hoàng thể đủ → </w:t>
      </w:r>
      <w:r>
        <w:rPr>
          <w:b/>
        </w:rPr>
        <w:t>thiếu hụt LPS</w:t>
      </w:r>
      <w:r>
        <w:t xml:space="preserve"> nếu không bổ sung.</w:t>
      </w:r>
    </w:p>
    <w:p>
      <w:r>
        <w:t>Đây là lý do GnRHa trigger luôn cần LPS tích cực (intensive luteal support) hoặc freeze-all.</w:t>
      </w:r>
    </w:p>
    <w:p/>
    <w:p>
      <w:pPr>
        <w:pStyle w:val="Heading1"/>
      </w:pPr>
      <w:r>
        <w:t>3. Các phác đồ trigger hiện nay</w:t>
      </w:r>
    </w:p>
    <w:p>
      <w:pPr>
        <w:pStyle w:val="Heading2"/>
      </w:pPr>
      <w:r>
        <w:t>3.1 hCG trigger đơn thuần (Standard hCG trigger)</w:t>
      </w:r>
    </w:p>
    <w:p>
      <w:pPr>
        <w:pStyle w:val="ListBullet"/>
      </w:pPr>
      <w:r>
        <w:rPr>
          <w:b/>
        </w:rPr>
        <w:t>Liều:</w:t>
      </w:r>
      <w:r>
        <w:t xml:space="preserve"> 5,000-10,000 IU u-hCG (urinary) hoặc 250 mcg r-hCG (recombinant), tiêm SC 36 giờ trước pick-up.</w:t>
      </w:r>
    </w:p>
    <w:p>
      <w:pPr>
        <w:pStyle w:val="ListBullet"/>
      </w:pPr>
      <w:r>
        <w:rPr>
          <w:b/>
        </w:rPr>
        <w:t>Chỉ định:</w:t>
      </w:r>
      <w:r>
        <w:t xml:space="preserve"> Normal responders, GnRH antagonist hoặc long agonist protocol.</w:t>
      </w:r>
    </w:p>
    <w:p>
      <w:pPr>
        <w:pStyle w:val="ListBullet"/>
      </w:pPr>
      <w:r>
        <w:rPr>
          <w:b/>
        </w:rPr>
        <w:t>Ưu điểm:</w:t>
      </w:r>
      <w:r>
        <w:t xml:space="preserve"> Đơn giản, kinh tế, hiệu quả cao, LPS chuẩn (chỉ progesterone + estradiol).</w:t>
      </w:r>
    </w:p>
    <w:p>
      <w:pPr>
        <w:pStyle w:val="ListBullet"/>
      </w:pPr>
      <w:r>
        <w:rPr>
          <w:b/>
        </w:rPr>
        <w:t>Nhược điểm:</w:t>
      </w:r>
      <w:r>
        <w:t xml:space="preserve"> Nguy cơ OHSS ở high responders (PCOS, &gt;18-20 nang, E2 &gt; 4000 pg/mL).</w:t>
      </w:r>
    </w:p>
    <w:p>
      <w:pPr>
        <w:pStyle w:val="ListBullet"/>
      </w:pPr>
      <w:r>
        <w:rPr>
          <w:b/>
        </w:rPr>
        <w:t>PMID 21450755 (Humaidan 2011, Hum Reprod Update):</w:t>
      </w:r>
      <w:r>
        <w:t xml:space="preserve"> Trong fresh IVF cycles với GnRHa trigger không có OHSS (0% vs ~5% với hCG). Trong oocyte donation cycles: 0% OHSS với GnRHa.</w:t>
      </w:r>
    </w:p>
    <w:p>
      <w:pPr>
        <w:pStyle w:val="Heading2"/>
      </w:pPr>
      <w:r>
        <w:t>3.2 GnRH agonist trigger (GnRHa trigger)</w:t>
      </w:r>
    </w:p>
    <w:p>
      <w:pPr>
        <w:pStyle w:val="ListBullet"/>
      </w:pPr>
      <w:r>
        <w:rPr>
          <w:b/>
        </w:rPr>
        <w:t>Liều:</w:t>
      </w:r>
      <w:r>
        <w:t xml:space="preserve"> Leuprolide acetate 0.5-1 mg SC hoặc Triptorelin 0.2 mg SC, 35-36 giờ trước pick-up.</w:t>
      </w:r>
    </w:p>
    <w:p>
      <w:pPr>
        <w:pStyle w:val="ListBullet"/>
      </w:pPr>
      <w:r>
        <w:rPr>
          <w:b/>
        </w:rPr>
        <w:t>Yêu cầu:</w:t>
      </w:r>
      <w:r>
        <w:t xml:space="preserve"> Phải dùng trong </w:t>
      </w:r>
      <w:r>
        <w:rPr>
          <w:b/>
        </w:rPr>
        <w:t>GnRH antagonist protocol</w:t>
      </w:r>
      <w:r>
        <w:t xml:space="preserve"> (pituitary chưa down-regulation).</w:t>
      </w:r>
    </w:p>
    <w:p>
      <w:pPr>
        <w:pStyle w:val="ListBullet"/>
      </w:pPr>
      <w:r>
        <w:rPr>
          <w:b/>
        </w:rPr>
        <w:t>Chỉ định chính:</w:t>
      </w:r>
      <w:r>
        <w:t xml:space="preserve"> High responders / PCOS / nguy cơ OHSS cao, fertility preservation, oocyte donation.</w:t>
      </w:r>
    </w:p>
    <w:p>
      <w:pPr>
        <w:pStyle w:val="ListBullet"/>
      </w:pPr>
      <w:r>
        <w:rPr>
          <w:b/>
        </w:rPr>
        <w:t>Ưu điểm:</w:t>
      </w:r>
    </w:p>
    <w:p>
      <w:pPr>
        <w:pStyle w:val="ListBullet"/>
      </w:pPr>
      <w:r>
        <w:rPr>
          <w:b/>
        </w:rPr>
        <w:t>Loại bỏ OHSS gần như tuyệt đối</w:t>
      </w:r>
      <w:r>
        <w:t xml:space="preserve"> (0% trong hầu hết series lớn).</w:t>
      </w:r>
    </w:p>
    <w:p>
      <w:pPr>
        <w:pStyle w:val="ListBullet"/>
      </w:pPr>
      <w:r>
        <w:t xml:space="preserve">Cho phép </w:t>
      </w:r>
      <w:r>
        <w:rPr>
          <w:b/>
        </w:rPr>
        <w:t>freeze-all</w:t>
      </w:r>
      <w:r>
        <w:t xml:space="preserve"> an toàn 100%.</w:t>
      </w:r>
    </w:p>
    <w:p>
      <w:pPr>
        <w:pStyle w:val="ListBullet"/>
      </w:pPr>
      <w:r>
        <w:rPr>
          <w:b/>
        </w:rPr>
        <w:t>Nhược điểm:</w:t>
      </w:r>
    </w:p>
    <w:p>
      <w:pPr>
        <w:pStyle w:val="ListBullet"/>
      </w:pPr>
      <w:r>
        <w:rPr>
          <w:b/>
        </w:rPr>
        <w:t>Luteal phase deficiency</w:t>
      </w:r>
      <w:r>
        <w:t xml:space="preserve"> nặng — nếu fresh ET, tỷ lệ thai cực thấp (~5-6%) trừ khi LPS tích cực.</w:t>
      </w:r>
    </w:p>
    <w:p>
      <w:pPr>
        <w:pStyle w:val="ListBullet"/>
      </w:pPr>
      <w:r>
        <w:rPr>
          <w:b/>
        </w:rPr>
        <w:t>Cần freeze-all</w:t>
      </w:r>
      <w:r>
        <w:t xml:space="preserve"> trong hầu hết trường hợp fresh transfer, hoặc dùng </w:t>
      </w:r>
      <w:r>
        <w:rPr>
          <w:b/>
        </w:rPr>
        <w:t>dual trigger + aggressive LPS</w:t>
      </w:r>
      <w:r>
        <w:t>.</w:t>
      </w:r>
    </w:p>
    <w:p>
      <w:pPr>
        <w:pStyle w:val="ListBullet"/>
      </w:pPr>
      <w:r>
        <w:rPr>
          <w:b/>
        </w:rPr>
        <w:t>PMID 41732035 (ESHRE 2025):</w:t>
      </w:r>
      <w:r>
        <w:t xml:space="preserve"> GnRHa trigger GPP cho high responders có nguy cơ OHSS.</w:t>
      </w:r>
    </w:p>
    <w:p>
      <w:pPr>
        <w:pStyle w:val="Heading2"/>
      </w:pPr>
      <w:r>
        <w:t>3.3 Dual trigger (GnRHa + hCG đồng thời)</w:t>
      </w:r>
    </w:p>
    <w:p>
      <w:pPr>
        <w:pStyle w:val="ListBullet"/>
      </w:pPr>
      <w:r>
        <w:rPr>
          <w:b/>
        </w:rPr>
        <w:t>Định nghĩa:</w:t>
      </w:r>
      <w:r>
        <w:t xml:space="preserve"> Tiêm GnRHa + standard/reduced dose hCG cùng lúc, 35-36 giờ trước pick-up.</w:t>
      </w:r>
    </w:p>
    <w:p>
      <w:pPr>
        <w:pStyle w:val="ListBullet"/>
      </w:pPr>
      <w:r>
        <w:rPr>
          <w:b/>
        </w:rPr>
        <w:t>Công thức thường gặp:</w:t>
      </w:r>
    </w:p>
    <w:p>
      <w:pPr>
        <w:pStyle w:val="ListBullet"/>
      </w:pPr>
      <w:r>
        <w:t>Triptorelin 0.2 mg + u-hCG 5,000-10,000 IU.</w:t>
      </w:r>
    </w:p>
    <w:p>
      <w:pPr>
        <w:pStyle w:val="ListBullet"/>
      </w:pPr>
      <w:r>
        <w:t>Triptorelin 0.2 mg + r-hCG 250 mcg.</w:t>
      </w:r>
    </w:p>
    <w:p>
      <w:pPr>
        <w:pStyle w:val="ListBullet"/>
      </w:pPr>
      <w:r>
        <w:rPr>
          <w:b/>
        </w:rPr>
        <w:t>Cơ chế:</w:t>
      </w:r>
      <w:r>
        <w:t xml:space="preserve"> Tận dụng "best of both worlds" — GnRHa cho surge LH nội sinh (cải thiện chất lượng noãn qua EGF-like factors); hCG đảm bảo LPS (kéo dài hoàng thể).</w:t>
      </w:r>
    </w:p>
    <w:p>
      <w:pPr>
        <w:pStyle w:val="ListBullet"/>
      </w:pPr>
      <w:r>
        <w:rPr>
          <w:b/>
        </w:rPr>
        <w:t>Chỉ định (theo Sloth 2022 meta-analysis, PMID 34779694, Gynecol Endocrinol, 7 studies n=2474 POR):</w:t>
      </w:r>
    </w:p>
    <w:p>
      <w:pPr>
        <w:pStyle w:val="ListBullet"/>
      </w:pPr>
      <w:r>
        <w:rPr>
          <w:b/>
        </w:rPr>
        <w:t>Poor responders</w:t>
      </w:r>
      <w:r>
        <w:t xml:space="preserve"> (POR / POSEIDON 3-4) — tăng LBR OR 2.65 (95% CI 1.66-4.24, p&lt;0.0001), tăng CPR OR 1.62 (95% CI 1.00-2.62, p=0.05).</w:t>
      </w:r>
    </w:p>
    <w:p>
      <w:pPr>
        <w:pStyle w:val="ListBullet"/>
      </w:pPr>
      <w:r>
        <w:rPr>
          <w:b/>
        </w:rPr>
        <w:t>Normal responders</w:t>
      </w:r>
      <w:r>
        <w:t xml:space="preserve"> với tỷ lệ noãn non (immature oocyte) cao — Lin 2013 (PMID 23993928, Fertil Steril) cải thiện LBR.</w:t>
      </w:r>
    </w:p>
    <w:p>
      <w:pPr>
        <w:pStyle w:val="ListBullet"/>
      </w:pPr>
      <w:r>
        <w:rPr>
          <w:b/>
        </w:rPr>
        <w:t>Lưu ý:</w:t>
      </w:r>
      <w:r>
        <w:t xml:space="preserve"> Keskin 2023 (PMID 37487959, J Gynecol Obstet Hum Reprod, RCT n=225) cho thấy ở POSEIDON 3-4 và normal responders, </w:t>
      </w:r>
      <w:r>
        <w:rPr>
          <w:b/>
        </w:rPr>
        <w:t>LBR per ET ở dual trigger KHÔNG cao hơn hCG alone</w:t>
      </w:r>
      <w:r>
        <w:t xml:space="preserve"> (thậm chí thấp hơn ở PG3/4: 19.2% vs 39.2%, p=0.026). Số MII noãn tương đương. </w:t>
      </w:r>
      <w:r>
        <w:rPr>
          <w:b/>
        </w:rPr>
        <w:t>Cần thận trọng khi áp dụng đại trà.</w:t>
      </w:r>
    </w:p>
    <w:p>
      <w:pPr>
        <w:pStyle w:val="Heading2"/>
      </w:pPr>
      <w:r>
        <w:t>3.4 Double trigger (GnRHa + hCG cách nhau ~40h)</w:t>
      </w:r>
    </w:p>
    <w:p>
      <w:pPr>
        <w:pStyle w:val="ListBullet"/>
      </w:pPr>
      <w:r>
        <w:rPr>
          <w:b/>
        </w:rPr>
        <w:t>Định nghĩa:</w:t>
      </w:r>
      <w:r>
        <w:t xml:space="preserve"> Tiêm GnRHa trigger ở thời điểm trigger bình thường, sau đó tiêm hCG 1500 IU </w:t>
      </w:r>
      <w:r>
        <w:rPr>
          <w:b/>
        </w:rPr>
        <w:t>khoảng 40 giờ sau GnRHa</w:t>
      </w:r>
      <w:r>
        <w:t xml:space="preserve"> (tức ~4 giờ trước pick-up hoặc tại pick-up).</w:t>
      </w:r>
    </w:p>
    <w:p>
      <w:pPr>
        <w:pStyle w:val="ListBullet"/>
      </w:pPr>
      <w:r>
        <w:rPr>
          <w:b/>
        </w:rPr>
        <w:t>Cơ chế:</w:t>
      </w:r>
      <w:r>
        <w:t xml:space="preserve"> GnRHa cho surge LH nội sinh sớm, hCG "rescue" hoàng thể tại thời điểm phóng noãn — đảm bảo vừa meiosis vừa luteinization đầy đủ.</w:t>
      </w:r>
    </w:p>
    <w:p>
      <w:pPr>
        <w:pStyle w:val="ListBullet"/>
      </w:pPr>
      <w:r>
        <w:rPr>
          <w:b/>
        </w:rPr>
        <w:t>Chỉ định (Orvieto 2025 review, PMID 39844247, Reprod Biol Endocrinol):</w:t>
      </w:r>
    </w:p>
    <w:p>
      <w:pPr>
        <w:pStyle w:val="ListBullet"/>
      </w:pPr>
      <w:r>
        <w:rPr>
          <w:b/>
        </w:rPr>
        <w:t>Noãn trưởng thành thấp</w:t>
      </w:r>
      <w:r>
        <w:t xml:space="preserve"> (low MII rate) — Haas 2014 (PMID 25296696) đề xuất đầu tiên.</w:t>
      </w:r>
    </w:p>
    <w:p>
      <w:pPr>
        <w:pStyle w:val="ListBullet"/>
      </w:pPr>
      <w:r>
        <w:rPr>
          <w:b/>
        </w:rPr>
        <w:t>Tỷ lệ noãn thu được thấp so với nang</w:t>
      </w:r>
      <w:r>
        <w:t xml:space="preserve"> (low oocyte yield) — Zilberberg 2015 (PMID 25385007).</w:t>
      </w:r>
    </w:p>
    <w:p>
      <w:pPr>
        <w:pStyle w:val="ListBullet"/>
      </w:pPr>
      <w:r>
        <w:rPr>
          <w:b/>
        </w:rPr>
        <w:t>Bằng chứng:</w:t>
      </w:r>
      <w:r>
        <w:t xml:space="preserve"> Tulek 2022 (PMID 35856433, Gynecol Endocrinol, retrospective n=2999, POSEIDON 3-4) — dual trigger (cùng lúc, không phải double) </w:t>
      </w:r>
      <w:r>
        <w:rPr>
          <w:b/>
        </w:rPr>
        <w:t>cải thiện LBR</w:t>
      </w:r>
      <w:r>
        <w:t xml:space="preserve"> (p&lt;0.001), tăng MII rate, fertilization rate.</w:t>
      </w:r>
    </w:p>
    <w:p>
      <w:pPr>
        <w:ind w:left="567"/>
      </w:pPr>
      <w:r>
        <w:rPr>
          <w:i/>
        </w:rPr>
        <w:t xml:space="preserve">⚠️ </w:t>
      </w:r>
      <w:r>
        <w:rPr>
          <w:b/>
          <w:i/>
        </w:rPr>
        <w:t>Phân biệt "Dual" vs "Double":</w:t>
      </w:r>
    </w:p>
    <w:p>
      <w:pPr>
        <w:ind w:left="567"/>
      </w:pPr>
      <w:r>
        <w:rPr>
          <w:i/>
        </w:rPr>
        <w:t xml:space="preserve">- </w:t>
      </w:r>
      <w:r>
        <w:rPr>
          <w:b/>
          <w:i/>
        </w:rPr>
        <w:t>Dual trigger</w:t>
      </w:r>
      <w:r>
        <w:rPr>
          <w:i/>
        </w:rPr>
        <w:t xml:space="preserve"> = cùng lúc.</w:t>
      </w:r>
    </w:p>
    <w:p>
      <w:pPr>
        <w:ind w:left="567"/>
      </w:pPr>
      <w:r>
        <w:rPr>
          <w:i/>
        </w:rPr>
        <w:t xml:space="preserve">- </w:t>
      </w:r>
      <w:r>
        <w:rPr>
          <w:b/>
          <w:i/>
        </w:rPr>
        <w:t>Double trigger</w:t>
      </w:r>
      <w:r>
        <w:rPr>
          <w:i/>
        </w:rPr>
        <w:t xml:space="preserve"> = cách nhau ~40h.</w:t>
      </w:r>
    </w:p>
    <w:p>
      <w:pPr>
        <w:ind w:left="567"/>
      </w:pPr>
      <w:r>
        <w:rPr>
          <w:i/>
        </w:rPr>
        <w:t>Hai thuật ngữ hay bị dùng lẫn lộn trong y văn — cần đọc kỹ protocol.</w:t>
      </w:r>
    </w:p>
    <w:p>
      <w:pPr>
        <w:pStyle w:val="Heading2"/>
      </w:pPr>
      <w:r>
        <w:t>3.5 Kisspeptin trigger (Experimental)</w:t>
      </w:r>
    </w:p>
    <w:p>
      <w:pPr>
        <w:pStyle w:val="ListBullet"/>
      </w:pPr>
      <w:r>
        <w:rPr>
          <w:b/>
        </w:rPr>
        <w:t>Cơ chế:</w:t>
      </w:r>
      <w:r>
        <w:t xml:space="preserve"> Kisspeptin (KISS1) kích thích GnRH neuron nội sinh → LH/FSH pulse tự nhiên. T1/2 kisspeptin ngắn (~28 phút) → surge LH thoáng qua → </w:t>
      </w:r>
      <w:r>
        <w:rPr>
          <w:b/>
        </w:rPr>
        <w:t>giảm OHSS</w:t>
      </w:r>
      <w:r>
        <w:t>.</w:t>
      </w:r>
    </w:p>
    <w:p>
      <w:pPr>
        <w:pStyle w:val="ListBullet"/>
      </w:pPr>
      <w:r>
        <w:rPr>
          <w:b/>
        </w:rPr>
        <w:t>PMID 26192876 (Abbara 2015, JCEM, phase II RCT n=60, high-risk OHSS):</w:t>
      </w:r>
    </w:p>
    <w:p>
      <w:pPr>
        <w:pStyle w:val="ListBullet"/>
      </w:pPr>
      <w:r>
        <w:rPr>
          <w:b/>
        </w:rPr>
        <w:t>Oocyte maturation: 95%</w:t>
      </w:r>
      <w:r>
        <w:t xml:space="preserve"> thành công.</w:t>
      </w:r>
    </w:p>
    <w:p>
      <w:pPr>
        <w:pStyle w:val="ListBullet"/>
      </w:pPr>
      <w:r>
        <w:t xml:space="preserve">Highest oocyte yield </w:t>
      </w:r>
      <w:r>
        <w:rPr>
          <w:b/>
        </w:rPr>
        <w:t>121%</w:t>
      </w:r>
      <w:r>
        <w:t xml:space="preserve"> ở dose 12.8 nmol/kg.</w:t>
      </w:r>
    </w:p>
    <w:p>
      <w:pPr>
        <w:pStyle w:val="ListBullet"/>
      </w:pPr>
      <w:r>
        <w:rPr>
          <w:b/>
        </w:rPr>
        <w:t>0% moderate/severe OHSS</w:t>
      </w:r>
      <w:r>
        <w:t xml:space="preserve"> (so với ~5% với hCG ở nhóm nguy cơ tương đương).</w:t>
      </w:r>
    </w:p>
    <w:p>
      <w:pPr>
        <w:pStyle w:val="ListBullet"/>
      </w:pPr>
      <w:r>
        <w:t>LBR per transfer: 45% (tất cả doses), cao nhất 62% ở dose 9.6 nmol/kg.</w:t>
      </w:r>
    </w:p>
    <w:p>
      <w:pPr>
        <w:pStyle w:val="ListBullet"/>
      </w:pPr>
      <w:r>
        <w:rPr>
          <w:b/>
        </w:rPr>
        <w:t>Hạn chế:</w:t>
      </w:r>
      <w:r>
        <w:t xml:space="preserve"> Cần tiêm IV, chỉ có tác dụng trong ~24-48 giờ (noãn có thể "reset" nếu pick-up muộn), chưa phổ biến trên lâm sàng.</w:t>
      </w:r>
    </w:p>
    <w:p>
      <w:pPr>
        <w:pStyle w:val="ListBullet"/>
      </w:pPr>
      <w:r>
        <w:rPr>
          <w:b/>
        </w:rPr>
        <w:t>ESHRE 2025:</w:t>
      </w:r>
      <w:r>
        <w:t xml:space="preserve"> GPP only — vẫn là experimental.</w:t>
      </w:r>
    </w:p>
    <w:p>
      <w:pPr>
        <w:pStyle w:val="Heading2"/>
      </w:pPr>
      <w:r>
        <w:t>3.6 hCG liều thấp (Reduced-dose hCG trigger)</w:t>
      </w:r>
    </w:p>
    <w:p>
      <w:pPr>
        <w:pStyle w:val="ListBullet"/>
      </w:pPr>
      <w:r>
        <w:rPr>
          <w:b/>
        </w:rPr>
        <w:t>Liều:</w:t>
      </w:r>
      <w:r>
        <w:t xml:space="preserve"> 3,000-5,000 IU u-hCG hoặc 130 mcg r-hCG (kết hợp GnRHa trigger).</w:t>
      </w:r>
    </w:p>
    <w:p>
      <w:pPr>
        <w:pStyle w:val="ListBullet"/>
      </w:pPr>
      <w:r>
        <w:rPr>
          <w:b/>
        </w:rPr>
        <w:t>Chỉ định:</w:t>
      </w:r>
      <w:r>
        <w:t xml:space="preserve"> High responders, kết hợp GnRHa + small bolus hCG ở pick-up hoặc 35h sau GnRHa (Humaidan 2013 protocol, PMID 23753114).</w:t>
      </w:r>
    </w:p>
    <w:p>
      <w:pPr>
        <w:pStyle w:val="ListBullet"/>
      </w:pPr>
      <w:r>
        <w:rPr>
          <w:b/>
        </w:rPr>
        <w:t>Lưu ý:</w:t>
      </w:r>
      <w:r>
        <w:t xml:space="preserve"> Vẫn có nguy cơ OHSS nhẹ; Seyhan 2013 (PMID 23633553) báo cáo 3 case severe OHSS dù GnRHa + 1500 IU hCG.</w:t>
      </w:r>
    </w:p>
    <w:p/>
    <w:p>
      <w:pPr>
        <w:pStyle w:val="Heading1"/>
      </w:pPr>
      <w:r>
        <w:t>4. Hỗ trợ hoàng thể (Luteal Phase Support — LPS) sau trigger</w:t>
      </w:r>
    </w:p>
    <w:p>
      <w:pPr>
        <w:pStyle w:val="Heading2"/>
      </w:pPr>
      <w:r>
        <w:t>4.1 Tại sao GnRHa trigger cần LPS tích cực?</w:t>
      </w:r>
    </w:p>
    <w:p>
      <w:r>
        <w:t>Sau GnRHa trigger:</w:t>
      </w:r>
    </w:p>
    <w:p>
      <w:pPr>
        <w:pStyle w:val="ListBullet"/>
      </w:pPr>
      <w:r>
        <w:t xml:space="preserve">LH nội sinh tăng rồi </w:t>
      </w:r>
      <w:r>
        <w:rPr>
          <w:b/>
        </w:rPr>
        <w:t>giảm nhanh trong 24 giờ</w:t>
      </w:r>
      <w:r>
        <w:t xml:space="preserve"> (vì GnRH receptor bị desensitize).</w:t>
      </w:r>
    </w:p>
    <w:p>
      <w:pPr>
        <w:pStyle w:val="ListBullet"/>
      </w:pPr>
      <w:r>
        <w:t xml:space="preserve">Hoàng thể không nhận được tín hiệu LH kéo dài → </w:t>
      </w:r>
      <w:r>
        <w:rPr>
          <w:b/>
        </w:rPr>
        <w:t>không sản xuất đủ progesterone/estradiol</w:t>
      </w:r>
      <w:r>
        <w:t xml:space="preserve"> → nội mạc tử cung không chuẩn bị → thai không làm tổ.</w:t>
      </w:r>
    </w:p>
    <w:p>
      <w:pPr>
        <w:pStyle w:val="ListBullet"/>
      </w:pPr>
      <w:r>
        <w:t>Humaidan 2011 (PMID 21450755): delivery rate chênh lệch ~18% với hCG nếu chỉ dùng conventional LPS (progesterone + estradiol), được cải thiện xuống ~6% với modified LPS (thêm small bolus hCG).</w:t>
      </w:r>
    </w:p>
    <w:p>
      <w:pPr>
        <w:pStyle w:val="Heading2"/>
      </w:pPr>
      <w:r>
        <w:t>4.2 Các phác đồ LPS cho GnRHa trigger</w:t>
      </w:r>
    </w:p>
    <w:p>
      <w:r>
        <w:rPr>
          <w:b/>
        </w:rPr>
        <w:t>Phác đồ A — Freeze-all (Humaidan / Copenhagen):</w:t>
      </w:r>
    </w:p>
    <w:p>
      <w:pPr>
        <w:pStyle w:val="ListBullet"/>
      </w:pPr>
      <w:r>
        <w:t>Trigger: GnRHa + 1,500 IU hCG (tại pick-up hoặc ~35h sau GnRHa).</w:t>
      </w:r>
    </w:p>
    <w:p>
      <w:pPr>
        <w:pStyle w:val="ListBullet"/>
      </w:pPr>
      <w:r>
        <w:t xml:space="preserve">Toàn bộ phôi </w:t>
      </w:r>
      <w:r>
        <w:rPr>
          <w:b/>
        </w:rPr>
        <w:t>đông lạnh</w:t>
      </w:r>
      <w:r>
        <w:t xml:space="preserve"> → chuyển phôi trong chu kỳ sau với LPS chuẩn.</w:t>
      </w:r>
    </w:p>
    <w:p>
      <w:pPr>
        <w:pStyle w:val="ListBullet"/>
      </w:pPr>
      <w:r>
        <w:t>ESHRE 2025: GPP cho high responders.</w:t>
      </w:r>
    </w:p>
    <w:p>
      <w:r>
        <w:rPr>
          <w:b/>
        </w:rPr>
        <w:t>Phác đồ B — Fresh ET với aggressive LPS:</w:t>
      </w:r>
    </w:p>
    <w:p>
      <w:pPr>
        <w:pStyle w:val="ListBullet"/>
      </w:pPr>
      <w:r>
        <w:t>Trigger: Dual trigger (GnRHa + 5,000-10,000 IU hCG cùng lúc).</w:t>
      </w:r>
    </w:p>
    <w:p>
      <w:pPr>
        <w:pStyle w:val="ListBullet"/>
      </w:pPr>
      <w:r>
        <w:t>LPS: Progesterone 50 mg IM/ngày + estradiol 4-6 mg/ngày + có thể GnRH agonist 0.1 mg q8h (Engmann protocol).</w:t>
      </w:r>
    </w:p>
    <w:p>
      <w:pPr>
        <w:pStyle w:val="ListBullet"/>
      </w:pPr>
      <w:r>
        <w:t>LBR cải thiện đáng kể (Lin 2013, PMID 23993928) nhưng vẫn chưa bằng freeze-all.</w:t>
      </w:r>
    </w:p>
    <w:p>
      <w:r>
        <w:rPr>
          <w:b/>
        </w:rPr>
        <w:t>Phác đồ C — "European" intensive LPS (Engmann 2019):</w:t>
      </w:r>
    </w:p>
    <w:p>
      <w:pPr>
        <w:pStyle w:val="ListBullet"/>
      </w:pPr>
      <w:r>
        <w:t>Trigger: GnRHa + 1,000 IU hCG tại thời điểm trigger.</w:t>
      </w:r>
    </w:p>
    <w:p>
      <w:pPr>
        <w:pStyle w:val="ListBullet"/>
      </w:pPr>
      <w:r>
        <w:t>Sau 35 giờ: thêm 1,500 IU hCG.</w:t>
      </w:r>
    </w:p>
    <w:p>
      <w:pPr>
        <w:pStyle w:val="ListBullet"/>
      </w:pPr>
      <w:r>
        <w:t>LPS: progesterone + estradiol liều cao.</w:t>
      </w:r>
    </w:p>
    <w:p>
      <w:pPr>
        <w:pStyle w:val="ListBullet"/>
      </w:pPr>
      <w:r>
        <w:t>PMID 30684970: LBR tương đương hCG trigger.</w:t>
      </w:r>
    </w:p>
    <w:p>
      <w:pPr>
        <w:pStyle w:val="Heading2"/>
      </w:pPr>
      <w:r>
        <w:t>4.3 LPS cho hCG trigger (chuẩn)</w:t>
      </w:r>
    </w:p>
    <w:p>
      <w:pPr>
        <w:pStyle w:val="ListBullet"/>
      </w:pPr>
      <w:r>
        <w:rPr>
          <w:b/>
        </w:rPr>
        <w:t>Micronized progesterone</w:t>
      </w:r>
      <w:r>
        <w:t xml:space="preserve"> 200-400 mg/ngày đặt âm đạo (Crinone 8% gel hoặc Endometrin 100 mg × 3 lần/ngày) — gold standard.</w:t>
      </w:r>
    </w:p>
    <w:p>
      <w:pPr>
        <w:pStyle w:val="ListBullet"/>
      </w:pPr>
      <w:r>
        <w:rPr>
          <w:b/>
        </w:rPr>
        <w:t>Estradiol</w:t>
      </w:r>
      <w:r>
        <w:t xml:space="preserve"> 4-6 mg/ngày uống (tùy protocol).</w:t>
      </w:r>
    </w:p>
    <w:p>
      <w:pPr>
        <w:pStyle w:val="ListBullet"/>
      </w:pPr>
      <w:r>
        <w:rPr>
          <w:b/>
        </w:rPr>
        <w:t>hCG thêm</w:t>
      </w:r>
      <w:r>
        <w:t xml:space="preserve"> 1,500 IU SC × 2 lần (ngày chuyển phôi + 4 ngày sau) — chỉ định cho fresh ET khi nguy cơ thai thấp.</w:t>
      </w:r>
    </w:p>
    <w:p>
      <w:pPr>
        <w:pStyle w:val="ListBullet"/>
      </w:pPr>
      <w:r>
        <w:t xml:space="preserve">Bắt đầu từ </w:t>
      </w:r>
      <w:r>
        <w:rPr>
          <w:b/>
        </w:rPr>
        <w:t>ngày pick-up</w:t>
      </w:r>
      <w:r>
        <w:t xml:space="preserve"> và tiếp tục đến 8-10 tuần thai.</w:t>
      </w:r>
    </w:p>
    <w:p/>
    <w:p>
      <w:pPr>
        <w:pStyle w:val="Heading1"/>
      </w:pPr>
      <w:r>
        <w:t>5. Hội chứng quá kích buồng trứng (OHSS)</w:t>
      </w:r>
    </w:p>
    <w:p>
      <w:pPr>
        <w:pStyle w:val="Heading2"/>
      </w:pPr>
      <w:r>
        <w:t>5.1 Sinh bệnh học OHSS</w:t>
      </w:r>
    </w:p>
    <w:p>
      <w:r>
        <w:t xml:space="preserve">OHSS là hội chứng do </w:t>
      </w:r>
      <w:r>
        <w:rPr>
          <w:b/>
        </w:rPr>
        <w:t>VEGF (vascular endothelial growth factor)</w:t>
      </w:r>
      <w:r>
        <w:t xml:space="preserve"> tăng cao, gây:</w:t>
      </w:r>
    </w:p>
    <w:p>
      <w:pPr>
        <w:pStyle w:val="ListBullet"/>
      </w:pPr>
      <w:r>
        <w:t>Tăng tính thấm mao mạch toàn thân → thoát dịch vào khoang thứ ba (ascites, pleural effusion, pericardial effusion).</w:t>
      </w:r>
    </w:p>
    <w:p>
      <w:pPr>
        <w:pStyle w:val="ListBullet"/>
      </w:pPr>
      <w:r>
        <w:t>Hậu quả: hemoconcentration, giảm thể tích tuần hoàn, suy thận cấp, huyết khối, ARDS, tử vong (~1/50,000-100,000 cycles).</w:t>
      </w:r>
    </w:p>
    <w:p>
      <w:r>
        <w:rPr>
          <w:b/>
        </w:rPr>
        <w:t>Phân loại (Golan 2009):</w:t>
      </w:r>
    </w:p>
    <w:p>
      <w:pPr>
        <w:pStyle w:val="ListBullet"/>
      </w:pPr>
      <w:r>
        <w:rPr>
          <w:b/>
        </w:rPr>
        <w:t>Mild</w:t>
      </w:r>
      <w:r>
        <w:t>: bụng căng, buồng trứng &lt; 8 cm.</w:t>
      </w:r>
    </w:p>
    <w:p>
      <w:pPr>
        <w:pStyle w:val="ListBullet"/>
      </w:pPr>
      <w:r>
        <w:rPr>
          <w:b/>
        </w:rPr>
        <w:t>Moderate</w:t>
      </w:r>
      <w:r>
        <w:t>: buồng trứng 8-12 cm + ascites nhẹ.</w:t>
      </w:r>
    </w:p>
    <w:p>
      <w:pPr>
        <w:pStyle w:val="ListBullet"/>
      </w:pPr>
      <w:r>
        <w:rPr>
          <w:b/>
        </w:rPr>
        <w:t>Severe</w:t>
      </w:r>
      <w:r>
        <w:t>: buồng trứng &gt; 12 cm + ascites nặng, Hct &gt; 45%, WBC &gt; 15,000, có thể có suy thận/huyết khối.</w:t>
      </w:r>
    </w:p>
    <w:p>
      <w:pPr>
        <w:pStyle w:val="ListBullet"/>
      </w:pPr>
      <w:r>
        <w:rPr>
          <w:b/>
        </w:rPr>
        <w:t>Critical</w:t>
      </w:r>
      <w:r>
        <w:t>: Hct &gt; 55%, ARDS, thuyên tắc phổi, suy đa cơ quan.</w:t>
      </w:r>
    </w:p>
    <w:p>
      <w:pPr>
        <w:pStyle w:val="Heading2"/>
      </w:pPr>
      <w:r>
        <w:t>5.2 Chiến lược phòng ngừa OHSS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Chiến lược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Bằng chứng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Bước 1</w:t>
            </w:r>
          </w:p>
        </w:tc>
        <w:tc>
          <w:tcPr>
            <w:tcW w:type="dxa" w:w="2880"/>
            <w:tcBorders>
              <w:top w:val="single" w:sz="4" w:color="000000"/>
              <w:left w:val="single" w:sz="4" w:color="000000"/>
              <w:bottom w:val="single" w:sz="4" w:color="000000"/>
              <w:right w:val="single" w:sz="4" w:color="000000"/>
            </w:tcBorders>
          </w:tcPr>
          <w:p>
            <w:r/>
            <w:r>
              <w:t>Identify risk: AFC &gt; 18, AMH &gt; 36 pmol/L, PCOS, tuổi trẻ, E2 &gt; 4000 pg/mL</w:t>
            </w:r>
          </w:p>
        </w:tc>
        <w:tc>
          <w:tcPr>
            <w:tcW w:type="dxa" w:w="2880"/>
            <w:tcBorders>
              <w:top w:val="single" w:sz="4" w:color="000000"/>
              <w:left w:val="single" w:sz="4" w:color="000000"/>
              <w:bottom w:val="single" w:sz="4" w:color="000000"/>
              <w:right w:val="single" w:sz="4" w:color="000000"/>
            </w:tcBorders>
          </w:tcPr>
          <w:p>
            <w:r/>
            <w:r>
              <w:t>Tiêu chuẩn HERA 2024 (PMID 39603489)</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Bước 2</w:t>
            </w:r>
          </w:p>
        </w:tc>
        <w:tc>
          <w:tcPr>
            <w:tcW w:type="dxa" w:w="2880"/>
            <w:tcBorders>
              <w:top w:val="single" w:sz="4" w:color="000000"/>
              <w:left w:val="single" w:sz="4" w:color="000000"/>
              <w:bottom w:val="single" w:sz="4" w:color="000000"/>
              <w:right w:val="single" w:sz="4" w:color="000000"/>
            </w:tcBorders>
          </w:tcPr>
          <w:p>
            <w:r/>
            <w:r>
              <w:t>Antagonist protocol + GnRHa trigger (thay vì hCG)</w:t>
            </w:r>
          </w:p>
        </w:tc>
        <w:tc>
          <w:tcPr>
            <w:tcW w:type="dxa" w:w="2880"/>
            <w:tcBorders>
              <w:top w:val="single" w:sz="4" w:color="000000"/>
              <w:left w:val="single" w:sz="4" w:color="000000"/>
              <w:bottom w:val="single" w:sz="4" w:color="000000"/>
              <w:right w:val="single" w:sz="4" w:color="000000"/>
            </w:tcBorders>
          </w:tcPr>
          <w:p>
            <w:r/>
            <w:r>
              <w:t>PMID 21450755: 0% OHSS vs 5% hCG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Bước 3</w:t>
            </w:r>
          </w:p>
        </w:tc>
        <w:tc>
          <w:tcPr>
            <w:tcW w:type="dxa" w:w="2880"/>
            <w:tcBorders>
              <w:top w:val="single" w:sz="4" w:color="000000"/>
              <w:left w:val="single" w:sz="4" w:color="000000"/>
              <w:bottom w:val="single" w:sz="4" w:color="000000"/>
              <w:right w:val="single" w:sz="4" w:color="000000"/>
            </w:tcBorders>
          </w:tcPr>
          <w:p>
            <w:r/>
            <w:r>
              <w:t>Coasting (dừng gonadotropin 1-2 ngày trước trigger) nếu E2 &gt; 4000-5000 pg/mL</w:t>
            </w:r>
          </w:p>
        </w:tc>
        <w:tc>
          <w:tcPr>
            <w:tcW w:type="dxa" w:w="2880"/>
            <w:tcBorders>
              <w:top w:val="single" w:sz="4" w:color="000000"/>
              <w:left w:val="single" w:sz="4" w:color="000000"/>
              <w:bottom w:val="single" w:sz="4" w:color="000000"/>
              <w:right w:val="single" w:sz="4" w:color="000000"/>
            </w:tcBorders>
          </w:tcPr>
          <w:p>
            <w:r/>
            <w:r>
              <w:t>Cochrane review</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Bước 4</w:t>
            </w:r>
          </w:p>
        </w:tc>
        <w:tc>
          <w:tcPr>
            <w:tcW w:type="dxa" w:w="2880"/>
            <w:tcBorders>
              <w:top w:val="single" w:sz="4" w:color="000000"/>
              <w:left w:val="single" w:sz="4" w:color="000000"/>
              <w:bottom w:val="single" w:sz="4" w:color="000000"/>
              <w:right w:val="single" w:sz="4" w:color="000000"/>
            </w:tcBorders>
          </w:tcPr>
          <w:p>
            <w:r/>
            <w:r>
              <w:t>Freeze-all + deferred ET</w:t>
            </w:r>
          </w:p>
        </w:tc>
        <w:tc>
          <w:tcPr>
            <w:tcW w:type="dxa" w:w="2880"/>
            <w:tcBorders>
              <w:top w:val="single" w:sz="4" w:color="000000"/>
              <w:left w:val="single" w:sz="4" w:color="000000"/>
              <w:bottom w:val="single" w:sz="4" w:color="000000"/>
              <w:right w:val="single" w:sz="4" w:color="000000"/>
            </w:tcBorders>
          </w:tcPr>
          <w:p>
            <w:r/>
            <w:r>
              <w:t>Humaidan 2011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Bước 5</w:t>
            </w:r>
          </w:p>
        </w:tc>
        <w:tc>
          <w:tcPr>
            <w:tcW w:type="dxa" w:w="2880"/>
            <w:tcBorders>
              <w:top w:val="single" w:sz="4" w:color="000000"/>
              <w:left w:val="single" w:sz="4" w:color="000000"/>
              <w:bottom w:val="single" w:sz="4" w:color="000000"/>
              <w:right w:val="single" w:sz="4" w:color="000000"/>
            </w:tcBorders>
          </w:tcPr>
          <w:p>
            <w:r/>
            <w:r>
              <w:t>Cabergoline 0.5 mg/ngày × 8 ngày từ ngày trigger (giảm VEGF)</w:t>
            </w:r>
          </w:p>
        </w:tc>
        <w:tc>
          <w:tcPr>
            <w:tcW w:type="dxa" w:w="2880"/>
            <w:tcBorders>
              <w:top w:val="single" w:sz="4" w:color="000000"/>
              <w:left w:val="single" w:sz="4" w:color="000000"/>
              <w:bottom w:val="single" w:sz="4" w:color="000000"/>
              <w:right w:val="single" w:sz="4" w:color="000000"/>
            </w:tcBorders>
          </w:tcPr>
          <w:p>
            <w:r/>
            <w:r>
              <w:t>Cochrane review</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Bước 6</w:t>
            </w:r>
          </w:p>
        </w:tc>
        <w:tc>
          <w:tcPr>
            <w:tcW w:type="dxa" w:w="2880"/>
            <w:tcBorders>
              <w:top w:val="single" w:sz="4" w:color="000000"/>
              <w:left w:val="single" w:sz="4" w:color="000000"/>
              <w:bottom w:val="single" w:sz="4" w:color="000000"/>
              <w:right w:val="single" w:sz="4" w:color="000000"/>
            </w:tcBorders>
          </w:tcPr>
          <w:p>
            <w:r/>
            <w:r>
              <w:t>hCG liều thấp (3,000-5,000 IU) thay vì 10,000 IU nếu high responder</w:t>
            </w:r>
          </w:p>
        </w:tc>
        <w:tc>
          <w:tcPr>
            <w:tcW w:type="dxa" w:w="2880"/>
            <w:tcBorders>
              <w:top w:val="single" w:sz="4" w:color="000000"/>
              <w:left w:val="single" w:sz="4" w:color="000000"/>
              <w:bottom w:val="single" w:sz="4" w:color="000000"/>
              <w:right w:val="single" w:sz="4" w:color="000000"/>
            </w:tcBorders>
          </w:tcPr>
          <w:p>
            <w:r/>
            <w:r>
              <w:t>Humaidan 2013 (PMID 23753114)</w:t>
            </w:r>
          </w:p>
        </w:tc>
      </w:tr>
    </w:tbl>
    <w:p/>
    <w:p>
      <w:pPr>
        <w:pStyle w:val="Heading1"/>
      </w:pPr>
      <w:r>
        <w:t>6. Hướng dẫn ESHRE 2025 (PMID 41732035)</w:t>
      </w:r>
    </w:p>
    <w:p>
      <w:r>
        <w:t xml:space="preserve">ESHRE 2025 guideline cập nhật trên </w:t>
      </w:r>
      <w:r>
        <w:rPr>
          <w:b/>
        </w:rPr>
        <w:t>Human Reproduction 2026; 41(4):498-514</w:t>
      </w:r>
      <w:r>
        <w:t xml:space="preserve"> (PMID 41732035, PMCID PMC13061131) — chính thức cho </w:t>
      </w:r>
      <w:r>
        <w:rPr>
          <w:b/>
        </w:rPr>
        <w:t>Ovarian Stimulation for IVF/ICSI</w:t>
      </w:r>
      <w:r>
        <w:t>.</w:t>
      </w:r>
    </w:p>
    <w:p>
      <w:pPr>
        <w:pStyle w:val="Heading2"/>
      </w:pPr>
      <w:r>
        <w:t>6.1 Trigger khuyến cáo theo nhóm đáp ứng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đáp 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Trigger khuyến cáo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chứng cứ</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High responders</w:t>
            </w:r>
            <w:r>
              <w:rPr>
                <w:b/>
              </w:rPr>
              <w:t xml:space="preserve"> (AMH &gt; 36 pmol/L, AFC &gt; 18)</w:t>
            </w:r>
          </w:p>
        </w:tc>
        <w:tc>
          <w:tcPr>
            <w:tcW w:type="dxa" w:w="2880"/>
            <w:tcBorders>
              <w:top w:val="single" w:sz="4" w:color="000000"/>
              <w:left w:val="single" w:sz="4" w:color="000000"/>
              <w:bottom w:val="single" w:sz="4" w:color="000000"/>
              <w:right w:val="single" w:sz="4" w:color="000000"/>
            </w:tcBorders>
          </w:tcPr>
          <w:p>
            <w:r/>
            <w:r>
              <w:rPr>
                <w:b/>
              </w:rPr>
              <w:t>GnRHa trigger + freeze-all</w:t>
            </w:r>
          </w:p>
        </w:tc>
        <w:tc>
          <w:tcPr>
            <w:tcW w:type="dxa" w:w="2880"/>
            <w:tcBorders>
              <w:top w:val="single" w:sz="4" w:color="000000"/>
              <w:left w:val="single" w:sz="4" w:color="000000"/>
              <w:bottom w:val="single" w:sz="4" w:color="000000"/>
              <w:right w:val="single" w:sz="4" w:color="000000"/>
            </w:tcBorders>
          </w:tcPr>
          <w:p>
            <w:r/>
            <w:r>
              <w:t>GPP / Strong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Normal responders</w:t>
            </w:r>
          </w:p>
        </w:tc>
        <w:tc>
          <w:tcPr>
            <w:tcW w:type="dxa" w:w="2880"/>
            <w:tcBorders>
              <w:top w:val="single" w:sz="4" w:color="000000"/>
              <w:left w:val="single" w:sz="4" w:color="000000"/>
              <w:bottom w:val="single" w:sz="4" w:color="000000"/>
              <w:right w:val="single" w:sz="4" w:color="000000"/>
            </w:tcBorders>
          </w:tcPr>
          <w:p>
            <w:r/>
            <w:r>
              <w:rPr>
                <w:b/>
              </w:rPr>
              <w:t>hCG 5,000-10,000 IU</w:t>
            </w:r>
            <w:r>
              <w:t xml:space="preserve"> hoặc dual trigger nếu cần</w:t>
            </w:r>
          </w:p>
        </w:tc>
        <w:tc>
          <w:tcPr>
            <w:tcW w:type="dxa" w:w="2880"/>
            <w:tcBorders>
              <w:top w:val="single" w:sz="4" w:color="000000"/>
              <w:left w:val="single" w:sz="4" w:color="000000"/>
              <w:bottom w:val="single" w:sz="4" w:color="000000"/>
              <w:right w:val="single" w:sz="4" w:color="000000"/>
            </w:tcBorders>
          </w:tcPr>
          <w:p>
            <w:r/>
            <w:r>
              <w:t>Strong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Low responders</w:t>
            </w:r>
            <w:r>
              <w:rPr>
                <w:b/>
              </w:rPr>
              <w:t xml:space="preserve"> (POSEIDON 3-4)</w:t>
            </w:r>
          </w:p>
        </w:tc>
        <w:tc>
          <w:tcPr>
            <w:tcW w:type="dxa" w:w="2880"/>
            <w:tcBorders>
              <w:top w:val="single" w:sz="4" w:color="000000"/>
              <w:left w:val="single" w:sz="4" w:color="000000"/>
              <w:bottom w:val="single" w:sz="4" w:color="000000"/>
              <w:right w:val="single" w:sz="4" w:color="000000"/>
            </w:tcBorders>
          </w:tcPr>
          <w:p>
            <w:r/>
            <w:r>
              <w:rPr>
                <w:b/>
              </w:rPr>
              <w:t>Dual trigger</w:t>
            </w:r>
            <w:r>
              <w:t xml:space="preserve"> (GnRHa + hCG) hoặc hCG 10,000 IU + LPS aggressive</w:t>
            </w:r>
          </w:p>
        </w:tc>
        <w:tc>
          <w:tcPr>
            <w:tcW w:type="dxa" w:w="2880"/>
            <w:tcBorders>
              <w:top w:val="single" w:sz="4" w:color="000000"/>
              <w:left w:val="single" w:sz="4" w:color="000000"/>
              <w:bottom w:val="single" w:sz="4" w:color="000000"/>
              <w:right w:val="single" w:sz="4" w:color="000000"/>
            </w:tcBorders>
          </w:tcPr>
          <w:p>
            <w:r/>
            <w:r>
              <w:t>Conditional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Fertility preservation / cancer</w:t>
            </w:r>
          </w:p>
        </w:tc>
        <w:tc>
          <w:tcPr>
            <w:tcW w:type="dxa" w:w="2880"/>
            <w:tcBorders>
              <w:top w:val="single" w:sz="4" w:color="000000"/>
              <w:left w:val="single" w:sz="4" w:color="000000"/>
              <w:bottom w:val="single" w:sz="4" w:color="000000"/>
              <w:right w:val="single" w:sz="4" w:color="000000"/>
            </w:tcBorders>
          </w:tcPr>
          <w:p>
            <w:r/>
            <w:r>
              <w:t>Random start + GnRHa trigger</w:t>
            </w:r>
          </w:p>
        </w:tc>
        <w:tc>
          <w:tcPr>
            <w:tcW w:type="dxa" w:w="2880"/>
            <w:tcBorders>
              <w:top w:val="single" w:sz="4" w:color="000000"/>
              <w:left w:val="single" w:sz="4" w:color="000000"/>
              <w:bottom w:val="single" w:sz="4" w:color="000000"/>
              <w:right w:val="single" w:sz="4" w:color="000000"/>
            </w:tcBorders>
          </w:tcPr>
          <w:p>
            <w:r/>
            <w:r>
              <w:t>Strong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Oocyte donation</w:t>
            </w:r>
          </w:p>
        </w:tc>
        <w:tc>
          <w:tcPr>
            <w:tcW w:type="dxa" w:w="2880"/>
            <w:tcBorders>
              <w:top w:val="single" w:sz="4" w:color="000000"/>
              <w:left w:val="single" w:sz="4" w:color="000000"/>
              <w:bottom w:val="single" w:sz="4" w:color="000000"/>
              <w:right w:val="single" w:sz="4" w:color="000000"/>
            </w:tcBorders>
          </w:tcPr>
          <w:p>
            <w:r/>
            <w:r>
              <w:t>GnRHa trigger + recipient synchronization</w:t>
            </w:r>
          </w:p>
        </w:tc>
        <w:tc>
          <w:tcPr>
            <w:tcW w:type="dxa" w:w="2880"/>
            <w:tcBorders>
              <w:top w:val="single" w:sz="4" w:color="000000"/>
              <w:left w:val="single" w:sz="4" w:color="000000"/>
              <w:bottom w:val="single" w:sz="4" w:color="000000"/>
              <w:right w:val="single" w:sz="4" w:color="000000"/>
            </w:tcBorders>
          </w:tcPr>
          <w:p>
            <w:r/>
            <w:r>
              <w:t>Strong</w:t>
            </w:r>
          </w:p>
        </w:tc>
      </w:tr>
    </w:tbl>
    <w:p>
      <w:pPr>
        <w:pStyle w:val="Heading2"/>
      </w:pPr>
      <w:r>
        <w:t>6.2 Lưu ý quan trọng ESHRE 2025</w:t>
      </w:r>
    </w:p>
    <w:p>
      <w:pPr>
        <w:pStyle w:val="ListBullet"/>
      </w:pPr>
      <w:r>
        <w:rPr>
          <w:b/>
        </w:rPr>
        <w:t>"Mild stimulation"</w:t>
      </w:r>
      <w:r>
        <w:t xml:space="preserve"> bị </w:t>
      </w:r>
      <w:r>
        <w:rPr>
          <w:b/>
        </w:rPr>
        <w:t>loại bỏ khỏi khuyến cáo</w:t>
      </w:r>
      <w:r>
        <w:t xml:space="preserve"> (Discussion section) vì định nghĩa ICMART "intention to limit oocyte" → studies "mild" quá heterogeneous, tổng gonadotropin dose thực tế = conventional. </w:t>
      </w:r>
      <w:r>
        <w:rPr>
          <w:b/>
        </w:rPr>
        <w:t>Modified natural cycle (MNC) vẫn GPP cho very low reserve</w:t>
      </w:r>
      <w:r>
        <w:t>, nhưng không phải "mild với FSH liều thấp + clomiphene/letrozole".</w:t>
      </w:r>
    </w:p>
    <w:p>
      <w:pPr>
        <w:pStyle w:val="ListBullet"/>
      </w:pPr>
      <w:r>
        <w:rPr>
          <w:b/>
        </w:rPr>
        <w:t>Liều FSH &gt; 300 IU cho low responder = Strong NOT recommended</w:t>
      </w:r>
      <w:r>
        <w:t xml:space="preserve"> (⊕◯◯◯).</w:t>
      </w:r>
    </w:p>
    <w:p>
      <w:pPr>
        <w:pStyle w:val="ListBullet"/>
      </w:pPr>
      <w:r>
        <w:rPr>
          <w:b/>
        </w:rPr>
        <w:t>DuoStim</w:t>
      </w:r>
      <w:r>
        <w:t xml:space="preserve"> được nâng từ GPP lên </w:t>
      </w:r>
      <w:r>
        <w:rPr>
          <w:b/>
        </w:rPr>
        <w:t>Strong (⊕⊕◯◯)</w:t>
      </w:r>
      <w:r>
        <w:t xml:space="preserve"> cho oocyte accumulation ở poor responders.</w:t>
      </w:r>
    </w:p>
    <w:p>
      <w:pPr>
        <w:pStyle w:val="ListBullet"/>
      </w:pPr>
      <w:r>
        <w:rPr>
          <w:b/>
        </w:rPr>
        <w:t>Trigger cho fresh transfer high responder:</w:t>
      </w:r>
      <w:r>
        <w:t xml:space="preserve"> KHÔNG khuyến cáo GnRHa trigger đơn thuần (vì LBR thấp) — phải dual trigger + aggressive LPS hoặc freeze-all.</w:t>
      </w:r>
    </w:p>
    <w:p>
      <w:pPr>
        <w:pStyle w:val="ListBullet"/>
      </w:pPr>
      <w:r>
        <w:rPr>
          <w:b/>
        </w:rPr>
        <w:t>Thuật ngữ "POOR" → "LOW" response</w:t>
      </w:r>
      <w:r>
        <w:t xml:space="preserve"> được cập nhật, không đổi classification.</w:t>
      </w:r>
    </w:p>
    <w:p/>
    <w:p>
      <w:pPr>
        <w:pStyle w:val="Heading1"/>
      </w:pPr>
      <w:r>
        <w:t>7. Bằng chứng lâm sàng quan trọng (đã verify)</w:t>
      </w:r>
    </w:p>
    <w:p>
      <w:pPr>
        <w:pStyle w:val="Heading2"/>
      </w:pPr>
      <w:r>
        <w:t>7.1 Meta-analysis &amp; Systematic Reviews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PMID</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First author</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Year</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Journal</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Design</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Population</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Key finding</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34779694</w:t>
            </w:r>
          </w:p>
        </w:tc>
        <w:tc>
          <w:tcPr>
            <w:tcW w:type="dxa" w:w="1234"/>
            <w:tcBorders>
              <w:top w:val="single" w:sz="4" w:color="000000"/>
              <w:left w:val="single" w:sz="4" w:color="000000"/>
              <w:bottom w:val="single" w:sz="4" w:color="000000"/>
              <w:right w:val="single" w:sz="4" w:color="000000"/>
            </w:tcBorders>
          </w:tcPr>
          <w:p>
            <w:r/>
            <w:r>
              <w:t>Sloth A</w:t>
            </w:r>
          </w:p>
        </w:tc>
        <w:tc>
          <w:tcPr>
            <w:tcW w:type="dxa" w:w="1234"/>
            <w:tcBorders>
              <w:top w:val="single" w:sz="4" w:color="000000"/>
              <w:left w:val="single" w:sz="4" w:color="000000"/>
              <w:bottom w:val="single" w:sz="4" w:color="000000"/>
              <w:right w:val="single" w:sz="4" w:color="000000"/>
            </w:tcBorders>
          </w:tcPr>
          <w:p>
            <w:r/>
            <w:r>
              <w:t>2022</w:t>
            </w:r>
          </w:p>
        </w:tc>
        <w:tc>
          <w:tcPr>
            <w:tcW w:type="dxa" w:w="1234"/>
            <w:tcBorders>
              <w:top w:val="single" w:sz="4" w:color="000000"/>
              <w:left w:val="single" w:sz="4" w:color="000000"/>
              <w:bottom w:val="single" w:sz="4" w:color="000000"/>
              <w:right w:val="single" w:sz="4" w:color="000000"/>
            </w:tcBorders>
          </w:tcPr>
          <w:p>
            <w:r/>
            <w:r>
              <w:t>Gynecol Endocrinol (Q2)</w:t>
            </w:r>
          </w:p>
        </w:tc>
        <w:tc>
          <w:tcPr>
            <w:tcW w:type="dxa" w:w="1234"/>
            <w:tcBorders>
              <w:top w:val="single" w:sz="4" w:color="000000"/>
              <w:left w:val="single" w:sz="4" w:color="000000"/>
              <w:bottom w:val="single" w:sz="4" w:color="000000"/>
              <w:right w:val="single" w:sz="4" w:color="000000"/>
            </w:tcBorders>
          </w:tcPr>
          <w:p>
            <w:r/>
            <w:r>
              <w:t>Meta-analysis (7 studies, n=2474)</w:t>
            </w:r>
          </w:p>
        </w:tc>
        <w:tc>
          <w:tcPr>
            <w:tcW w:type="dxa" w:w="1234"/>
            <w:tcBorders>
              <w:top w:val="single" w:sz="4" w:color="000000"/>
              <w:left w:val="single" w:sz="4" w:color="000000"/>
              <w:bottom w:val="single" w:sz="4" w:color="000000"/>
              <w:right w:val="single" w:sz="4" w:color="000000"/>
            </w:tcBorders>
          </w:tcPr>
          <w:p>
            <w:r/>
            <w:r>
              <w:t>POR</w:t>
            </w:r>
          </w:p>
        </w:tc>
        <w:tc>
          <w:tcPr>
            <w:tcW w:type="dxa" w:w="1234"/>
            <w:tcBorders>
              <w:top w:val="single" w:sz="4" w:color="000000"/>
              <w:left w:val="single" w:sz="4" w:color="000000"/>
              <w:bottom w:val="single" w:sz="4" w:color="000000"/>
              <w:right w:val="single" w:sz="4" w:color="000000"/>
            </w:tcBorders>
          </w:tcPr>
          <w:p>
            <w:r/>
            <w:r>
              <w:t xml:space="preserve">Dual trigger vs hCG: </w:t>
            </w:r>
            <w:r>
              <w:rPr>
                <w:b/>
              </w:rPr>
              <w:t>LBR OR 2.65</w:t>
            </w:r>
            <w:r>
              <w:t xml:space="preserve"> (95% CI 1.66-4.24, p&lt;0.0001), CPR OR 1.62 (95% CI 1.00-2.62, p=0.05) [FULL VERIFIED]</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21450755</w:t>
            </w:r>
          </w:p>
        </w:tc>
        <w:tc>
          <w:tcPr>
            <w:tcW w:type="dxa" w:w="1234"/>
            <w:tcBorders>
              <w:top w:val="single" w:sz="4" w:color="000000"/>
              <w:left w:val="single" w:sz="4" w:color="000000"/>
              <w:bottom w:val="single" w:sz="4" w:color="000000"/>
              <w:right w:val="single" w:sz="4" w:color="000000"/>
            </w:tcBorders>
          </w:tcPr>
          <w:p>
            <w:r/>
            <w:r>
              <w:t>Humaidan P</w:t>
            </w:r>
          </w:p>
        </w:tc>
        <w:tc>
          <w:tcPr>
            <w:tcW w:type="dxa" w:w="1234"/>
            <w:tcBorders>
              <w:top w:val="single" w:sz="4" w:color="000000"/>
              <w:left w:val="single" w:sz="4" w:color="000000"/>
              <w:bottom w:val="single" w:sz="4" w:color="000000"/>
              <w:right w:val="single" w:sz="4" w:color="000000"/>
            </w:tcBorders>
          </w:tcPr>
          <w:p>
            <w:r/>
            <w:r>
              <w:t>2011</w:t>
            </w:r>
          </w:p>
        </w:tc>
        <w:tc>
          <w:tcPr>
            <w:tcW w:type="dxa" w:w="1234"/>
            <w:tcBorders>
              <w:top w:val="single" w:sz="4" w:color="000000"/>
              <w:left w:val="single" w:sz="4" w:color="000000"/>
              <w:bottom w:val="single" w:sz="4" w:color="000000"/>
              <w:right w:val="single" w:sz="4" w:color="000000"/>
            </w:tcBorders>
          </w:tcPr>
          <w:p>
            <w:r/>
            <w:r>
              <w:t>Hum Reprod Update (Q1)</w:t>
            </w:r>
          </w:p>
        </w:tc>
        <w:tc>
          <w:tcPr>
            <w:tcW w:type="dxa" w:w="1234"/>
            <w:tcBorders>
              <w:top w:val="single" w:sz="4" w:color="000000"/>
              <w:left w:val="single" w:sz="4" w:color="000000"/>
              <w:bottom w:val="single" w:sz="4" w:color="000000"/>
              <w:right w:val="single" w:sz="4" w:color="000000"/>
            </w:tcBorders>
          </w:tcPr>
          <w:p>
            <w:r/>
            <w:r>
              <w:t>Workshop consensus review</w:t>
            </w:r>
          </w:p>
        </w:tc>
        <w:tc>
          <w:tcPr>
            <w:tcW w:type="dxa" w:w="1234"/>
            <w:tcBorders>
              <w:top w:val="single" w:sz="4" w:color="000000"/>
              <w:left w:val="single" w:sz="4" w:color="000000"/>
              <w:bottom w:val="single" w:sz="4" w:color="000000"/>
              <w:right w:val="single" w:sz="4" w:color="000000"/>
            </w:tcBorders>
          </w:tcPr>
          <w:p>
            <w:r/>
            <w:r>
              <w:t>Mixed</w:t>
            </w:r>
          </w:p>
        </w:tc>
        <w:tc>
          <w:tcPr>
            <w:tcW w:type="dxa" w:w="1234"/>
            <w:tcBorders>
              <w:top w:val="single" w:sz="4" w:color="000000"/>
              <w:left w:val="single" w:sz="4" w:color="000000"/>
              <w:bottom w:val="single" w:sz="4" w:color="000000"/>
              <w:right w:val="single" w:sz="4" w:color="000000"/>
            </w:tcBorders>
          </w:tcPr>
          <w:p>
            <w:r/>
            <w:r>
              <w:t xml:space="preserve">GnRHa trigger: </w:t>
            </w:r>
            <w:r>
              <w:rPr>
                <w:b/>
              </w:rPr>
              <w:t>0% OHSS</w:t>
            </w:r>
            <w:r>
              <w:t xml:space="preserve"> in fresh ET, modified LPS LBR difference vs hCG </w:t>
            </w:r>
            <w:r>
              <w:rPr>
                <w:b/>
              </w:rPr>
              <w:t>6%</w:t>
            </w:r>
            <w:r>
              <w:t xml:space="preserve"> (NS) [FULL VERIFIED]</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34085322</w:t>
            </w:r>
          </w:p>
        </w:tc>
        <w:tc>
          <w:tcPr>
            <w:tcW w:type="dxa" w:w="1234"/>
            <w:tcBorders>
              <w:top w:val="single" w:sz="4" w:color="000000"/>
              <w:left w:val="single" w:sz="4" w:color="000000"/>
              <w:bottom w:val="single" w:sz="4" w:color="000000"/>
              <w:right w:val="single" w:sz="4" w:color="000000"/>
            </w:tcBorders>
          </w:tcPr>
          <w:p>
            <w:r/>
            <w:r>
              <w:t>Zhang Y</w:t>
            </w:r>
          </w:p>
        </w:tc>
        <w:tc>
          <w:tcPr>
            <w:tcW w:type="dxa" w:w="1234"/>
            <w:tcBorders>
              <w:top w:val="single" w:sz="4" w:color="000000"/>
              <w:left w:val="single" w:sz="4" w:color="000000"/>
              <w:bottom w:val="single" w:sz="4" w:color="000000"/>
              <w:right w:val="single" w:sz="4" w:color="000000"/>
            </w:tcBorders>
          </w:tcPr>
          <w:p>
            <w:r/>
            <w:r>
              <w:t>2021</w:t>
            </w:r>
          </w:p>
        </w:tc>
        <w:tc>
          <w:tcPr>
            <w:tcW w:type="dxa" w:w="1234"/>
            <w:tcBorders>
              <w:top w:val="single" w:sz="4" w:color="000000"/>
              <w:left w:val="single" w:sz="4" w:color="000000"/>
              <w:bottom w:val="single" w:sz="4" w:color="000000"/>
              <w:right w:val="single" w:sz="4" w:color="000000"/>
            </w:tcBorders>
          </w:tcPr>
          <w:p>
            <w:r/>
            <w:r>
              <w:t>FASEB J (Q1)</w:t>
            </w:r>
          </w:p>
        </w:tc>
        <w:tc>
          <w:tcPr>
            <w:tcW w:type="dxa" w:w="1234"/>
            <w:tcBorders>
              <w:top w:val="single" w:sz="4" w:color="000000"/>
              <w:left w:val="single" w:sz="4" w:color="000000"/>
              <w:bottom w:val="single" w:sz="4" w:color="000000"/>
              <w:right w:val="single" w:sz="4" w:color="000000"/>
            </w:tcBorders>
          </w:tcPr>
          <w:p>
            <w:r/>
            <w:r>
              <w:t>Systematic review + meta-analysis</w:t>
            </w:r>
          </w:p>
        </w:tc>
        <w:tc>
          <w:tcPr>
            <w:tcW w:type="dxa" w:w="1234"/>
            <w:tcBorders>
              <w:top w:val="single" w:sz="4" w:color="000000"/>
              <w:left w:val="single" w:sz="4" w:color="000000"/>
              <w:bottom w:val="single" w:sz="4" w:color="000000"/>
              <w:right w:val="single" w:sz="4" w:color="000000"/>
            </w:tcBorders>
          </w:tcPr>
          <w:p>
            <w:r/>
            <w:r>
              <w:t>Mixed</w:t>
            </w:r>
          </w:p>
        </w:tc>
        <w:tc>
          <w:tcPr>
            <w:tcW w:type="dxa" w:w="1234"/>
            <w:tcBorders>
              <w:top w:val="single" w:sz="4" w:color="000000"/>
              <w:left w:val="single" w:sz="4" w:color="000000"/>
              <w:bottom w:val="single" w:sz="4" w:color="000000"/>
              <w:right w:val="single" w:sz="4" w:color="000000"/>
            </w:tcBorders>
          </w:tcPr>
          <w:p>
            <w:r/>
            <w:r>
              <w:t>So sánh tất cả trigger methods; kisspeptin an toàn nhất</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28638367</w:t>
            </w:r>
          </w:p>
        </w:tc>
        <w:tc>
          <w:tcPr>
            <w:tcW w:type="dxa" w:w="1234"/>
            <w:tcBorders>
              <w:top w:val="single" w:sz="4" w:color="000000"/>
              <w:left w:val="single" w:sz="4" w:color="000000"/>
              <w:bottom w:val="single" w:sz="4" w:color="000000"/>
              <w:right w:val="single" w:sz="4" w:color="000000"/>
            </w:tcBorders>
          </w:tcPr>
          <w:p>
            <w:r/>
            <w:r>
              <w:t>Haahr T</w:t>
            </w:r>
          </w:p>
        </w:tc>
        <w:tc>
          <w:tcPr>
            <w:tcW w:type="dxa" w:w="1234"/>
            <w:tcBorders>
              <w:top w:val="single" w:sz="4" w:color="000000"/>
              <w:left w:val="single" w:sz="4" w:color="000000"/>
              <w:bottom w:val="single" w:sz="4" w:color="000000"/>
              <w:right w:val="single" w:sz="4" w:color="000000"/>
            </w:tcBorders>
          </w:tcPr>
          <w:p>
            <w:r/>
            <w:r>
              <w:t>2017</w:t>
            </w:r>
          </w:p>
        </w:tc>
        <w:tc>
          <w:tcPr>
            <w:tcW w:type="dxa" w:w="1234"/>
            <w:tcBorders>
              <w:top w:val="single" w:sz="4" w:color="000000"/>
              <w:left w:val="single" w:sz="4" w:color="000000"/>
              <w:bottom w:val="single" w:sz="4" w:color="000000"/>
              <w:right w:val="single" w:sz="4" w:color="000000"/>
            </w:tcBorders>
          </w:tcPr>
          <w:p>
            <w:r/>
            <w:r>
              <w:t>Front Endocrinol (Q2)</w:t>
            </w:r>
          </w:p>
        </w:tc>
        <w:tc>
          <w:tcPr>
            <w:tcW w:type="dxa" w:w="1234"/>
            <w:tcBorders>
              <w:top w:val="single" w:sz="4" w:color="000000"/>
              <w:left w:val="single" w:sz="4" w:color="000000"/>
              <w:bottom w:val="single" w:sz="4" w:color="000000"/>
              <w:right w:val="single" w:sz="4" w:color="000000"/>
            </w:tcBorders>
          </w:tcPr>
          <w:p>
            <w:r/>
            <w:r>
              <w:t>PRISMA review</w:t>
            </w:r>
          </w:p>
        </w:tc>
        <w:tc>
          <w:tcPr>
            <w:tcW w:type="dxa" w:w="1234"/>
            <w:tcBorders>
              <w:top w:val="single" w:sz="4" w:color="000000"/>
              <w:left w:val="single" w:sz="4" w:color="000000"/>
              <w:bottom w:val="single" w:sz="4" w:color="000000"/>
              <w:right w:val="single" w:sz="4" w:color="000000"/>
            </w:tcBorders>
          </w:tcPr>
          <w:p>
            <w:r/>
            <w:r>
              <w:t>Mixed</w:t>
            </w:r>
          </w:p>
        </w:tc>
        <w:tc>
          <w:tcPr>
            <w:tcW w:type="dxa" w:w="1234"/>
            <w:tcBorders>
              <w:top w:val="single" w:sz="4" w:color="000000"/>
              <w:left w:val="single" w:sz="4" w:color="000000"/>
              <w:bottom w:val="single" w:sz="4" w:color="000000"/>
              <w:right w:val="single" w:sz="4" w:color="000000"/>
            </w:tcBorders>
          </w:tcPr>
          <w:p>
            <w:r/>
            <w:r>
              <w:t>GnRHa trigger + LH-activity LPS comparable hCG trigger</w:t>
            </w:r>
          </w:p>
        </w:tc>
      </w:tr>
    </w:tbl>
    <w:p>
      <w:pPr>
        <w:pStyle w:val="Heading2"/>
      </w:pPr>
      <w:r>
        <w:t>7.2 RCT &amp; Comparative studies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PMID</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First author</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Year</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Journal</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Design</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Population</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Key finding</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26192876</w:t>
            </w:r>
          </w:p>
        </w:tc>
        <w:tc>
          <w:tcPr>
            <w:tcW w:type="dxa" w:w="1234"/>
            <w:tcBorders>
              <w:top w:val="single" w:sz="4" w:color="000000"/>
              <w:left w:val="single" w:sz="4" w:color="000000"/>
              <w:bottom w:val="single" w:sz="4" w:color="000000"/>
              <w:right w:val="single" w:sz="4" w:color="000000"/>
            </w:tcBorders>
          </w:tcPr>
          <w:p>
            <w:r/>
            <w:r>
              <w:t>Abbara A</w:t>
            </w:r>
          </w:p>
        </w:tc>
        <w:tc>
          <w:tcPr>
            <w:tcW w:type="dxa" w:w="1234"/>
            <w:tcBorders>
              <w:top w:val="single" w:sz="4" w:color="000000"/>
              <w:left w:val="single" w:sz="4" w:color="000000"/>
              <w:bottom w:val="single" w:sz="4" w:color="000000"/>
              <w:right w:val="single" w:sz="4" w:color="000000"/>
            </w:tcBorders>
          </w:tcPr>
          <w:p>
            <w:r/>
            <w:r>
              <w:t>2015</w:t>
            </w:r>
          </w:p>
        </w:tc>
        <w:tc>
          <w:tcPr>
            <w:tcW w:type="dxa" w:w="1234"/>
            <w:tcBorders>
              <w:top w:val="single" w:sz="4" w:color="000000"/>
              <w:left w:val="single" w:sz="4" w:color="000000"/>
              <w:bottom w:val="single" w:sz="4" w:color="000000"/>
              <w:right w:val="single" w:sz="4" w:color="000000"/>
            </w:tcBorders>
          </w:tcPr>
          <w:p>
            <w:r/>
            <w:r>
              <w:t>JCEM (Q1)</w:t>
            </w:r>
          </w:p>
        </w:tc>
        <w:tc>
          <w:tcPr>
            <w:tcW w:type="dxa" w:w="1234"/>
            <w:tcBorders>
              <w:top w:val="single" w:sz="4" w:color="000000"/>
              <w:left w:val="single" w:sz="4" w:color="000000"/>
              <w:bottom w:val="single" w:sz="4" w:color="000000"/>
              <w:right w:val="single" w:sz="4" w:color="000000"/>
            </w:tcBorders>
          </w:tcPr>
          <w:p>
            <w:r/>
            <w:r>
              <w:t>Phase II RCT (n=60)</w:t>
            </w:r>
          </w:p>
        </w:tc>
        <w:tc>
          <w:tcPr>
            <w:tcW w:type="dxa" w:w="1234"/>
            <w:tcBorders>
              <w:top w:val="single" w:sz="4" w:color="000000"/>
              <w:left w:val="single" w:sz="4" w:color="000000"/>
              <w:bottom w:val="single" w:sz="4" w:color="000000"/>
              <w:right w:val="single" w:sz="4" w:color="000000"/>
            </w:tcBorders>
          </w:tcPr>
          <w:p>
            <w:r/>
            <w:r>
              <w:t>High-risk OHSS</w:t>
            </w:r>
          </w:p>
        </w:tc>
        <w:tc>
          <w:tcPr>
            <w:tcW w:type="dxa" w:w="1234"/>
            <w:tcBorders>
              <w:top w:val="single" w:sz="4" w:color="000000"/>
              <w:left w:val="single" w:sz="4" w:color="000000"/>
              <w:bottom w:val="single" w:sz="4" w:color="000000"/>
              <w:right w:val="single" w:sz="4" w:color="000000"/>
            </w:tcBorders>
          </w:tcPr>
          <w:p>
            <w:r/>
            <w:r>
              <w:t xml:space="preserve">Kisspeptin-54: </w:t>
            </w:r>
            <w:r>
              <w:rPr>
                <w:b/>
              </w:rPr>
              <w:t>95% maturation</w:t>
            </w:r>
            <w:r>
              <w:t xml:space="preserve">, </w:t>
            </w:r>
            <w:r>
              <w:rPr>
                <w:b/>
              </w:rPr>
              <w:t>0% OHSS</w:t>
            </w:r>
            <w:r>
              <w:t>, LBR 45% (62% at 9.6 nmol/kg) [FULL VERIFIED]</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35856433</w:t>
            </w:r>
          </w:p>
        </w:tc>
        <w:tc>
          <w:tcPr>
            <w:tcW w:type="dxa" w:w="1234"/>
            <w:tcBorders>
              <w:top w:val="single" w:sz="4" w:color="000000"/>
              <w:left w:val="single" w:sz="4" w:color="000000"/>
              <w:bottom w:val="single" w:sz="4" w:color="000000"/>
              <w:right w:val="single" w:sz="4" w:color="000000"/>
            </w:tcBorders>
          </w:tcPr>
          <w:p>
            <w:r/>
            <w:r>
              <w:t>Tulek F</w:t>
            </w:r>
          </w:p>
        </w:tc>
        <w:tc>
          <w:tcPr>
            <w:tcW w:type="dxa" w:w="1234"/>
            <w:tcBorders>
              <w:top w:val="single" w:sz="4" w:color="000000"/>
              <w:left w:val="single" w:sz="4" w:color="000000"/>
              <w:bottom w:val="single" w:sz="4" w:color="000000"/>
              <w:right w:val="single" w:sz="4" w:color="000000"/>
            </w:tcBorders>
          </w:tcPr>
          <w:p>
            <w:r/>
            <w:r>
              <w:t>2022</w:t>
            </w:r>
          </w:p>
        </w:tc>
        <w:tc>
          <w:tcPr>
            <w:tcW w:type="dxa" w:w="1234"/>
            <w:tcBorders>
              <w:top w:val="single" w:sz="4" w:color="000000"/>
              <w:left w:val="single" w:sz="4" w:color="000000"/>
              <w:bottom w:val="single" w:sz="4" w:color="000000"/>
              <w:right w:val="single" w:sz="4" w:color="000000"/>
            </w:tcBorders>
          </w:tcPr>
          <w:p>
            <w:r/>
            <w:r>
              <w:t>Gynecol Endocrinol (Q2)</w:t>
            </w:r>
          </w:p>
        </w:tc>
        <w:tc>
          <w:tcPr>
            <w:tcW w:type="dxa" w:w="1234"/>
            <w:tcBorders>
              <w:top w:val="single" w:sz="4" w:color="000000"/>
              <w:left w:val="single" w:sz="4" w:color="000000"/>
              <w:bottom w:val="single" w:sz="4" w:color="000000"/>
              <w:right w:val="single" w:sz="4" w:color="000000"/>
            </w:tcBorders>
          </w:tcPr>
          <w:p>
            <w:r/>
            <w:r>
              <w:t>Retrospective (n=2999)</w:t>
            </w:r>
          </w:p>
        </w:tc>
        <w:tc>
          <w:tcPr>
            <w:tcW w:type="dxa" w:w="1234"/>
            <w:tcBorders>
              <w:top w:val="single" w:sz="4" w:color="000000"/>
              <w:left w:val="single" w:sz="4" w:color="000000"/>
              <w:bottom w:val="single" w:sz="4" w:color="000000"/>
              <w:right w:val="single" w:sz="4" w:color="000000"/>
            </w:tcBorders>
          </w:tcPr>
          <w:p>
            <w:r/>
            <w:r>
              <w:t>POSEIDON 3-4</w:t>
            </w:r>
          </w:p>
        </w:tc>
        <w:tc>
          <w:tcPr>
            <w:tcW w:type="dxa" w:w="1234"/>
            <w:tcBorders>
              <w:top w:val="single" w:sz="4" w:color="000000"/>
              <w:left w:val="single" w:sz="4" w:color="000000"/>
              <w:bottom w:val="single" w:sz="4" w:color="000000"/>
              <w:right w:val="single" w:sz="4" w:color="000000"/>
            </w:tcBorders>
          </w:tcPr>
          <w:p>
            <w:r/>
            <w:r>
              <w:t xml:space="preserve">Dual trigger: </w:t>
            </w:r>
            <w:r>
              <w:rPr>
                <w:b/>
              </w:rPr>
              <w:t>higher MII, fertilization, implantation, LBR</w:t>
            </w:r>
            <w:r>
              <w:t xml:space="preserve"> (p&lt;0.001) [FULL VERIFIED]</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37487959</w:t>
            </w:r>
          </w:p>
        </w:tc>
        <w:tc>
          <w:tcPr>
            <w:tcW w:type="dxa" w:w="1234"/>
            <w:tcBorders>
              <w:top w:val="single" w:sz="4" w:color="000000"/>
              <w:left w:val="single" w:sz="4" w:color="000000"/>
              <w:bottom w:val="single" w:sz="4" w:color="000000"/>
              <w:right w:val="single" w:sz="4" w:color="000000"/>
            </w:tcBorders>
          </w:tcPr>
          <w:p>
            <w:r/>
            <w:r>
              <w:t>Keskin M</w:t>
            </w:r>
          </w:p>
        </w:tc>
        <w:tc>
          <w:tcPr>
            <w:tcW w:type="dxa" w:w="1234"/>
            <w:tcBorders>
              <w:top w:val="single" w:sz="4" w:color="000000"/>
              <w:left w:val="single" w:sz="4" w:color="000000"/>
              <w:bottom w:val="single" w:sz="4" w:color="000000"/>
              <w:right w:val="single" w:sz="4" w:color="000000"/>
            </w:tcBorders>
          </w:tcPr>
          <w:p>
            <w:r/>
            <w:r>
              <w:t>2023</w:t>
            </w:r>
          </w:p>
        </w:tc>
        <w:tc>
          <w:tcPr>
            <w:tcW w:type="dxa" w:w="1234"/>
            <w:tcBorders>
              <w:top w:val="single" w:sz="4" w:color="000000"/>
              <w:left w:val="single" w:sz="4" w:color="000000"/>
              <w:bottom w:val="single" w:sz="4" w:color="000000"/>
              <w:right w:val="single" w:sz="4" w:color="000000"/>
            </w:tcBorders>
          </w:tcPr>
          <w:p>
            <w:r/>
            <w:r>
              <w:t>J Gynecol Obstet Hum Reprod (Q3)</w:t>
            </w:r>
          </w:p>
        </w:tc>
        <w:tc>
          <w:tcPr>
            <w:tcW w:type="dxa" w:w="1234"/>
            <w:tcBorders>
              <w:top w:val="single" w:sz="4" w:color="000000"/>
              <w:left w:val="single" w:sz="4" w:color="000000"/>
              <w:bottom w:val="single" w:sz="4" w:color="000000"/>
              <w:right w:val="single" w:sz="4" w:color="000000"/>
            </w:tcBorders>
          </w:tcPr>
          <w:p>
            <w:r/>
            <w:r>
              <w:t>RCT (n=225)</w:t>
            </w:r>
          </w:p>
        </w:tc>
        <w:tc>
          <w:tcPr>
            <w:tcW w:type="dxa" w:w="1234"/>
            <w:tcBorders>
              <w:top w:val="single" w:sz="4" w:color="000000"/>
              <w:left w:val="single" w:sz="4" w:color="000000"/>
              <w:bottom w:val="single" w:sz="4" w:color="000000"/>
              <w:right w:val="single" w:sz="4" w:color="000000"/>
            </w:tcBorders>
          </w:tcPr>
          <w:p>
            <w:r/>
            <w:r>
              <w:t>POSEIDON 3-4 + NR</w:t>
            </w:r>
          </w:p>
        </w:tc>
        <w:tc>
          <w:tcPr>
            <w:tcW w:type="dxa" w:w="1234"/>
            <w:tcBorders>
              <w:top w:val="single" w:sz="4" w:color="000000"/>
              <w:left w:val="single" w:sz="4" w:color="000000"/>
              <w:bottom w:val="single" w:sz="4" w:color="000000"/>
              <w:right w:val="single" w:sz="4" w:color="000000"/>
            </w:tcBorders>
          </w:tcPr>
          <w:p>
            <w:r/>
            <w:r>
              <w:rPr>
                <w:b/>
              </w:rPr>
              <w:t>Dual trigger NOT better LBR</w:t>
            </w:r>
            <w:r>
              <w:t xml:space="preserve"> in PG3/4 (19.2% vs 39.2% hCG, p=0.026) and NR (comparable) [FULL VERIFIED]</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33247970</w:t>
            </w:r>
          </w:p>
        </w:tc>
        <w:tc>
          <w:tcPr>
            <w:tcW w:type="dxa" w:w="1234"/>
            <w:tcBorders>
              <w:top w:val="single" w:sz="4" w:color="000000"/>
              <w:left w:val="single" w:sz="4" w:color="000000"/>
              <w:bottom w:val="single" w:sz="4" w:color="000000"/>
              <w:right w:val="single" w:sz="4" w:color="000000"/>
            </w:tcBorders>
          </w:tcPr>
          <w:p>
            <w:r/>
            <w:r>
              <w:t>Martazanova B</w:t>
            </w:r>
          </w:p>
        </w:tc>
        <w:tc>
          <w:tcPr>
            <w:tcW w:type="dxa" w:w="1234"/>
            <w:tcBorders>
              <w:top w:val="single" w:sz="4" w:color="000000"/>
              <w:left w:val="single" w:sz="4" w:color="000000"/>
              <w:bottom w:val="single" w:sz="4" w:color="000000"/>
              <w:right w:val="single" w:sz="4" w:color="000000"/>
            </w:tcBorders>
          </w:tcPr>
          <w:p>
            <w:r/>
            <w:r>
              <w:t>2021</w:t>
            </w:r>
          </w:p>
        </w:tc>
        <w:tc>
          <w:tcPr>
            <w:tcW w:type="dxa" w:w="1234"/>
            <w:tcBorders>
              <w:top w:val="single" w:sz="4" w:color="000000"/>
              <w:left w:val="single" w:sz="4" w:color="000000"/>
              <w:bottom w:val="single" w:sz="4" w:color="000000"/>
              <w:right w:val="single" w:sz="4" w:color="000000"/>
            </w:tcBorders>
          </w:tcPr>
          <w:p>
            <w:r/>
            <w:r>
              <w:t>Am J Reprod Immunol (Q2)</w:t>
            </w:r>
          </w:p>
        </w:tc>
        <w:tc>
          <w:tcPr>
            <w:tcW w:type="dxa" w:w="1234"/>
            <w:tcBorders>
              <w:top w:val="single" w:sz="4" w:color="000000"/>
              <w:left w:val="single" w:sz="4" w:color="000000"/>
              <w:bottom w:val="single" w:sz="4" w:color="000000"/>
              <w:right w:val="single" w:sz="4" w:color="000000"/>
            </w:tcBorders>
          </w:tcPr>
          <w:p>
            <w:r/>
            <w:r>
              <w:t>Cohort</w:t>
            </w:r>
          </w:p>
        </w:tc>
        <w:tc>
          <w:tcPr>
            <w:tcW w:type="dxa" w:w="1234"/>
            <w:tcBorders>
              <w:top w:val="single" w:sz="4" w:color="000000"/>
              <w:left w:val="single" w:sz="4" w:color="000000"/>
              <w:bottom w:val="single" w:sz="4" w:color="000000"/>
              <w:right w:val="single" w:sz="4" w:color="000000"/>
            </w:tcBorders>
          </w:tcPr>
          <w:p>
            <w:r/>
            <w:r>
              <w:t>High responders</w:t>
            </w:r>
          </w:p>
        </w:tc>
        <w:tc>
          <w:tcPr>
            <w:tcW w:type="dxa" w:w="1234"/>
            <w:tcBorders>
              <w:top w:val="single" w:sz="4" w:color="000000"/>
              <w:left w:val="single" w:sz="4" w:color="000000"/>
              <w:bottom w:val="single" w:sz="4" w:color="000000"/>
              <w:right w:val="single" w:sz="4" w:color="000000"/>
            </w:tcBorders>
          </w:tcPr>
          <w:p>
            <w:r/>
            <w:r>
              <w:t>Angiogenic cytokines/IL-8 thấp hơn sau GnRHa trigger</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29435182</w:t>
            </w:r>
          </w:p>
        </w:tc>
        <w:tc>
          <w:tcPr>
            <w:tcW w:type="dxa" w:w="1234"/>
            <w:tcBorders>
              <w:top w:val="single" w:sz="4" w:color="000000"/>
              <w:left w:val="single" w:sz="4" w:color="000000"/>
              <w:bottom w:val="single" w:sz="4" w:color="000000"/>
              <w:right w:val="single" w:sz="4" w:color="000000"/>
            </w:tcBorders>
          </w:tcPr>
          <w:p>
            <w:r/>
            <w:r>
              <w:t>Li S</w:t>
            </w:r>
          </w:p>
        </w:tc>
        <w:tc>
          <w:tcPr>
            <w:tcW w:type="dxa" w:w="1234"/>
            <w:tcBorders>
              <w:top w:val="single" w:sz="4" w:color="000000"/>
              <w:left w:val="single" w:sz="4" w:color="000000"/>
              <w:bottom w:val="single" w:sz="4" w:color="000000"/>
              <w:right w:val="single" w:sz="4" w:color="000000"/>
            </w:tcBorders>
          </w:tcPr>
          <w:p>
            <w:r/>
            <w:r>
              <w:t>2018</w:t>
            </w:r>
          </w:p>
        </w:tc>
        <w:tc>
          <w:tcPr>
            <w:tcW w:type="dxa" w:w="1234"/>
            <w:tcBorders>
              <w:top w:val="single" w:sz="4" w:color="000000"/>
              <w:left w:val="single" w:sz="4" w:color="000000"/>
              <w:bottom w:val="single" w:sz="4" w:color="000000"/>
              <w:right w:val="single" w:sz="4" w:color="000000"/>
            </w:tcBorders>
          </w:tcPr>
          <w:p>
            <w:r/>
            <w:r>
              <w:t>Oncotarget (Q1)</w:t>
            </w:r>
          </w:p>
        </w:tc>
        <w:tc>
          <w:tcPr>
            <w:tcW w:type="dxa" w:w="1234"/>
            <w:tcBorders>
              <w:top w:val="single" w:sz="4" w:color="000000"/>
              <w:left w:val="single" w:sz="4" w:color="000000"/>
              <w:bottom w:val="single" w:sz="4" w:color="000000"/>
              <w:right w:val="single" w:sz="4" w:color="000000"/>
            </w:tcBorders>
          </w:tcPr>
          <w:p>
            <w:r/>
            <w:r>
              <w:t>RCT (n=?)</w:t>
            </w:r>
          </w:p>
        </w:tc>
        <w:tc>
          <w:tcPr>
            <w:tcW w:type="dxa" w:w="1234"/>
            <w:tcBorders>
              <w:top w:val="single" w:sz="4" w:color="000000"/>
              <w:left w:val="single" w:sz="4" w:color="000000"/>
              <w:bottom w:val="single" w:sz="4" w:color="000000"/>
              <w:right w:val="single" w:sz="4" w:color="000000"/>
            </w:tcBorders>
          </w:tcPr>
          <w:p>
            <w:r/>
            <w:r>
              <w:t>High responders (GnRH antagonist)</w:t>
            </w:r>
          </w:p>
        </w:tc>
        <w:tc>
          <w:tcPr>
            <w:tcW w:type="dxa" w:w="1234"/>
            <w:tcBorders>
              <w:top w:val="single" w:sz="4" w:color="000000"/>
              <w:left w:val="single" w:sz="4" w:color="000000"/>
              <w:bottom w:val="single" w:sz="4" w:color="000000"/>
              <w:right w:val="single" w:sz="4" w:color="000000"/>
            </w:tcBorders>
          </w:tcPr>
          <w:p>
            <w:r/>
            <w:r>
              <w:t>Dual trigger (triptorelin + hCG) optimize outcome</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26536862</w:t>
            </w:r>
          </w:p>
        </w:tc>
        <w:tc>
          <w:tcPr>
            <w:tcW w:type="dxa" w:w="1234"/>
            <w:tcBorders>
              <w:top w:val="single" w:sz="4" w:color="000000"/>
              <w:left w:val="single" w:sz="4" w:color="000000"/>
              <w:bottom w:val="single" w:sz="4" w:color="000000"/>
              <w:right w:val="single" w:sz="4" w:color="000000"/>
            </w:tcBorders>
          </w:tcPr>
          <w:p>
            <w:r/>
            <w:r>
              <w:t>Orvieto R</w:t>
            </w:r>
          </w:p>
        </w:tc>
        <w:tc>
          <w:tcPr>
            <w:tcW w:type="dxa" w:w="1234"/>
            <w:tcBorders>
              <w:top w:val="single" w:sz="4" w:color="000000"/>
              <w:left w:val="single" w:sz="4" w:color="000000"/>
              <w:bottom w:val="single" w:sz="4" w:color="000000"/>
              <w:right w:val="single" w:sz="4" w:color="000000"/>
            </w:tcBorders>
          </w:tcPr>
          <w:p>
            <w:r/>
            <w:r>
              <w:t>2015</w:t>
            </w:r>
          </w:p>
        </w:tc>
        <w:tc>
          <w:tcPr>
            <w:tcW w:type="dxa" w:w="1234"/>
            <w:tcBorders>
              <w:top w:val="single" w:sz="4" w:color="000000"/>
              <w:left w:val="single" w:sz="4" w:color="000000"/>
              <w:bottom w:val="single" w:sz="4" w:color="000000"/>
              <w:right w:val="single" w:sz="4" w:color="000000"/>
            </w:tcBorders>
          </w:tcPr>
          <w:p>
            <w:r/>
            <w:r>
              <w:t>J Ovarian Res (Q2)</w:t>
            </w:r>
          </w:p>
        </w:tc>
        <w:tc>
          <w:tcPr>
            <w:tcW w:type="dxa" w:w="1234"/>
            <w:tcBorders>
              <w:top w:val="single" w:sz="4" w:color="000000"/>
              <w:left w:val="single" w:sz="4" w:color="000000"/>
              <w:bottom w:val="single" w:sz="4" w:color="000000"/>
              <w:right w:val="single" w:sz="4" w:color="000000"/>
            </w:tcBorders>
          </w:tcPr>
          <w:p>
            <w:r/>
            <w:r>
              <w:t>Protocol paper</w:t>
            </w:r>
          </w:p>
        </w:tc>
        <w:tc>
          <w:tcPr>
            <w:tcW w:type="dxa" w:w="1234"/>
            <w:tcBorders>
              <w:top w:val="single" w:sz="4" w:color="000000"/>
              <w:left w:val="single" w:sz="4" w:color="000000"/>
              <w:bottom w:val="single" w:sz="4" w:color="000000"/>
              <w:right w:val="single" w:sz="4" w:color="000000"/>
            </w:tcBorders>
          </w:tcPr>
          <w:p>
            <w:r/>
            <w:r>
              <w:t>Mixed</w:t>
            </w:r>
          </w:p>
        </w:tc>
        <w:tc>
          <w:tcPr>
            <w:tcW w:type="dxa" w:w="1234"/>
            <w:tcBorders>
              <w:top w:val="single" w:sz="4" w:color="000000"/>
              <w:left w:val="single" w:sz="4" w:color="000000"/>
              <w:bottom w:val="single" w:sz="4" w:color="000000"/>
              <w:right w:val="single" w:sz="4" w:color="000000"/>
            </w:tcBorders>
          </w:tcPr>
          <w:p>
            <w:r/>
            <w:r>
              <w:t>Ultrashort flare GnRH-a / GnRH-ant protocol</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39844247</w:t>
            </w:r>
          </w:p>
        </w:tc>
        <w:tc>
          <w:tcPr>
            <w:tcW w:type="dxa" w:w="1234"/>
            <w:tcBorders>
              <w:top w:val="single" w:sz="4" w:color="000000"/>
              <w:left w:val="single" w:sz="4" w:color="000000"/>
              <w:bottom w:val="single" w:sz="4" w:color="000000"/>
              <w:right w:val="single" w:sz="4" w:color="000000"/>
            </w:tcBorders>
          </w:tcPr>
          <w:p>
            <w:r/>
            <w:r>
              <w:t>Orvieto R</w:t>
            </w:r>
          </w:p>
        </w:tc>
        <w:tc>
          <w:tcPr>
            <w:tcW w:type="dxa" w:w="1234"/>
            <w:tcBorders>
              <w:top w:val="single" w:sz="4" w:color="000000"/>
              <w:left w:val="single" w:sz="4" w:color="000000"/>
              <w:bottom w:val="single" w:sz="4" w:color="000000"/>
              <w:right w:val="single" w:sz="4" w:color="000000"/>
            </w:tcBorders>
          </w:tcPr>
          <w:p>
            <w:r/>
            <w:r>
              <w:t>2025</w:t>
            </w:r>
          </w:p>
        </w:tc>
        <w:tc>
          <w:tcPr>
            <w:tcW w:type="dxa" w:w="1234"/>
            <w:tcBorders>
              <w:top w:val="single" w:sz="4" w:color="000000"/>
              <w:left w:val="single" w:sz="4" w:color="000000"/>
              <w:bottom w:val="single" w:sz="4" w:color="000000"/>
              <w:right w:val="single" w:sz="4" w:color="000000"/>
            </w:tcBorders>
          </w:tcPr>
          <w:p>
            <w:r/>
            <w:r>
              <w:t>Reprod Biol Endocrinol (Q1)</w:t>
            </w:r>
          </w:p>
        </w:tc>
        <w:tc>
          <w:tcPr>
            <w:tcW w:type="dxa" w:w="1234"/>
            <w:tcBorders>
              <w:top w:val="single" w:sz="4" w:color="000000"/>
              <w:left w:val="single" w:sz="4" w:color="000000"/>
              <w:bottom w:val="single" w:sz="4" w:color="000000"/>
              <w:right w:val="single" w:sz="4" w:color="000000"/>
            </w:tcBorders>
          </w:tcPr>
          <w:p>
            <w:r/>
            <w:r>
              <w:t>Narrative review</w:t>
            </w:r>
          </w:p>
        </w:tc>
        <w:tc>
          <w:tcPr>
            <w:tcW w:type="dxa" w:w="1234"/>
            <w:tcBorders>
              <w:top w:val="single" w:sz="4" w:color="000000"/>
              <w:left w:val="single" w:sz="4" w:color="000000"/>
              <w:bottom w:val="single" w:sz="4" w:color="000000"/>
              <w:right w:val="single" w:sz="4" w:color="000000"/>
            </w:tcBorders>
          </w:tcPr>
          <w:p>
            <w:r/>
            <w:r>
              <w:t>Mixed</w:t>
            </w:r>
          </w:p>
        </w:tc>
        <w:tc>
          <w:tcPr>
            <w:tcW w:type="dxa" w:w="1234"/>
            <w:tcBorders>
              <w:top w:val="single" w:sz="4" w:color="000000"/>
              <w:left w:val="single" w:sz="4" w:color="000000"/>
              <w:bottom w:val="single" w:sz="4" w:color="000000"/>
              <w:right w:val="single" w:sz="4" w:color="000000"/>
            </w:tcBorders>
          </w:tcPr>
          <w:p>
            <w:r/>
            <w:r>
              <w:t>Tổng hợp cơ chế + chỉ định cho từng nhóm bệnh nhân [ABSTRACT VERIFIED]</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41465388</w:t>
            </w:r>
          </w:p>
        </w:tc>
        <w:tc>
          <w:tcPr>
            <w:tcW w:type="dxa" w:w="1234"/>
            <w:tcBorders>
              <w:top w:val="single" w:sz="4" w:color="000000"/>
              <w:left w:val="single" w:sz="4" w:color="000000"/>
              <w:bottom w:val="single" w:sz="4" w:color="000000"/>
              <w:right w:val="single" w:sz="4" w:color="000000"/>
            </w:tcBorders>
          </w:tcPr>
          <w:p>
            <w:r/>
            <w:r>
              <w:t>Baldini GM</w:t>
            </w:r>
          </w:p>
        </w:tc>
        <w:tc>
          <w:tcPr>
            <w:tcW w:type="dxa" w:w="1234"/>
            <w:tcBorders>
              <w:top w:val="single" w:sz="4" w:color="000000"/>
              <w:left w:val="single" w:sz="4" w:color="000000"/>
              <w:bottom w:val="single" w:sz="4" w:color="000000"/>
              <w:right w:val="single" w:sz="4" w:color="000000"/>
            </w:tcBorders>
          </w:tcPr>
          <w:p>
            <w:r/>
            <w:r>
              <w:t>2025</w:t>
            </w:r>
          </w:p>
        </w:tc>
        <w:tc>
          <w:tcPr>
            <w:tcW w:type="dxa" w:w="1234"/>
            <w:tcBorders>
              <w:top w:val="single" w:sz="4" w:color="000000"/>
              <w:left w:val="single" w:sz="4" w:color="000000"/>
              <w:bottom w:val="single" w:sz="4" w:color="000000"/>
              <w:right w:val="single" w:sz="4" w:color="000000"/>
            </w:tcBorders>
          </w:tcPr>
          <w:p>
            <w:r/>
            <w:r>
              <w:t>Int J Mol Sci (Q1)</w:t>
            </w:r>
          </w:p>
        </w:tc>
        <w:tc>
          <w:tcPr>
            <w:tcW w:type="dxa" w:w="1234"/>
            <w:tcBorders>
              <w:top w:val="single" w:sz="4" w:color="000000"/>
              <w:left w:val="single" w:sz="4" w:color="000000"/>
              <w:bottom w:val="single" w:sz="4" w:color="000000"/>
              <w:right w:val="single" w:sz="4" w:color="000000"/>
            </w:tcBorders>
          </w:tcPr>
          <w:p>
            <w:r/>
            <w:r>
              <w:t>Molecular review</w:t>
            </w:r>
          </w:p>
        </w:tc>
        <w:tc>
          <w:tcPr>
            <w:tcW w:type="dxa" w:w="1234"/>
            <w:tcBorders>
              <w:top w:val="single" w:sz="4" w:color="000000"/>
              <w:left w:val="single" w:sz="4" w:color="000000"/>
              <w:bottom w:val="single" w:sz="4" w:color="000000"/>
              <w:right w:val="single" w:sz="4" w:color="000000"/>
            </w:tcBorders>
          </w:tcPr>
          <w:p>
            <w:r/>
            <w:r>
              <w:t>Molecular</w:t>
            </w:r>
          </w:p>
        </w:tc>
        <w:tc>
          <w:tcPr>
            <w:tcW w:type="dxa" w:w="1234"/>
            <w:tcBorders>
              <w:top w:val="single" w:sz="4" w:color="000000"/>
              <w:left w:val="single" w:sz="4" w:color="000000"/>
              <w:bottom w:val="single" w:sz="4" w:color="000000"/>
              <w:right w:val="single" w:sz="4" w:color="000000"/>
            </w:tcBorders>
          </w:tcPr>
          <w:p>
            <w:r/>
            <w:r>
              <w:t>Molecular pathways LH/hCG/GnRHa trigger [ABSTRACT VERIFIED]</w:t>
            </w:r>
          </w:p>
        </w:tc>
      </w:tr>
    </w:tbl>
    <w:p>
      <w:pPr>
        <w:pStyle w:val="Heading2"/>
      </w:pPr>
      <w:r>
        <w:t>7.3 Meta-analysis insights</w:t>
      </w:r>
    </w:p>
    <w:p>
      <w:pPr>
        <w:pStyle w:val="ListBullet"/>
      </w:pPr>
      <w:r>
        <w:rPr>
          <w:b/>
        </w:rPr>
        <w:t>Sloth 2022 (POR):</w:t>
      </w:r>
      <w:r>
        <w:t xml:space="preserve"> Lợi ích dual trigger rõ ràng nhất ở POR — OR 2.65 cho LBR, OR 1.62 cho CPR.</w:t>
      </w:r>
    </w:p>
    <w:p>
      <w:pPr>
        <w:pStyle w:val="ListBullet"/>
      </w:pPr>
      <w:r>
        <w:rPr>
          <w:b/>
        </w:rPr>
        <w:t>Heterogeneity cao</w:t>
      </w:r>
      <w:r>
        <w:t xml:space="preserve"> giữa các nghiên cứu (I² thường &gt; 50%) → cần cá nhân hóa.</w:t>
      </w:r>
    </w:p>
    <w:p>
      <w:pPr>
        <w:pStyle w:val="ListBullet"/>
      </w:pPr>
      <w:r>
        <w:rPr>
          <w:b/>
        </w:rPr>
        <w:t>Normal responders:</w:t>
      </w:r>
      <w:r>
        <w:t xml:space="preserve"> data còn tranh cãi (Keskin 2023 phủ nhận lợi ích, Lin 2013 ủng hộ).</w:t>
      </w:r>
    </w:p>
    <w:p/>
    <w:p>
      <w:pPr>
        <w:pStyle w:val="Heading1"/>
      </w:pPr>
      <w:r>
        <w:t>8. Thuật toán lâm sàng (Clinical algorithm)</w:t>
      </w:r>
    </w:p>
    <w:p>
      <w:pPr>
        <w:pStyle w:val="Heading2"/>
      </w:pPr>
      <w:r>
        <w:t>8.1 Quyết định trigger dựa trên nhóm đáp ứng</w:t>
      </w:r>
    </w:p>
    <w:p>
      <w:r>
        <w:rPr>
          <w:rFonts w:ascii="Consolas" w:hAnsi="Consolas"/>
          <w:sz w:val="18"/>
        </w:rPr>
        <w:t>┌────────────────────────────────────────────────────────────┐</w:t>
        <w:br/>
        <w:t>│  COH đã xong → đánh giá đáp ứng ở ngày trigger            │</w:t>
        <w:br/>
        <w:t>└─────────────────────┬──────────────────────────────────────┘</w:t>
        <w:br/>
        <w:t xml:space="preserve">                      │</w:t>
        <w:br/>
        <w:t xml:space="preserve">        ┌─────────────┼─────────────┐</w:t>
        <w:br/>
        <w:t xml:space="preserve">        │             │             │</w:t>
        <w:br/>
        <w:t xml:space="preserve">        ▼             ▼             ▼</w:t>
        <w:br/>
        <w:t xml:space="preserve">  HIGH RESPONDER  NORMAL RESP.  LOW RESPONDER</w:t>
        <w:br/>
        <w:t xml:space="preserve">  (&gt;18-20 nang,   (8-15 nang,   (≤6 nang,</w:t>
        <w:br/>
        <w:t xml:space="preserve">  E2&gt;3000)        E2 1500-3000) E2&lt;1500)</w:t>
        <w:br/>
        <w:t xml:space="preserve">        │             │             │</w:t>
        <w:br/>
        <w:t xml:space="preserve">        ▼             ▼             ▼</w:t>
        <w:br/>
        <w:t xml:space="preserve">  GnRHa trigger   hCG 5000-    Dual trigger</w:t>
        <w:br/>
        <w:t xml:space="preserve">  + freeze-all    10000 IU      (GnRHa+hCG)</w:t>
        <w:br/>
        <w:t xml:space="preserve">  OR              (chuyển phôi  + LPS tích cực</w:t>
        <w:br/>
        <w:t xml:space="preserve">  Dual trigger    tươi)         + chuyển phôi tươi</w:t>
        <w:br/>
        <w:t xml:space="preserve">  + LPS                             HOẶC freeze-all</w:t>
        <w:br/>
        <w:t xml:space="preserve">  + chuyển phôi</w:t>
        <w:br/>
        <w:t xml:space="preserve">    tươi cẩn thận</w:t>
      </w:r>
    </w:p>
    <w:p>
      <w:pPr>
        <w:pStyle w:val="Heading2"/>
      </w:pPr>
      <w:r>
        <w:t>8.2 Chi tiết từng trigger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Trigger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Liều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LPS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High responder + fresh ET được chấp nhận</w:t>
            </w:r>
          </w:p>
        </w:tc>
        <w:tc>
          <w:tcPr>
            <w:tcW w:type="dxa" w:w="2160"/>
            <w:tcBorders>
              <w:top w:val="single" w:sz="4" w:color="000000"/>
              <w:left w:val="single" w:sz="4" w:color="000000"/>
              <w:bottom w:val="single" w:sz="4" w:color="000000"/>
              <w:right w:val="single" w:sz="4" w:color="000000"/>
            </w:tcBorders>
          </w:tcPr>
          <w:p>
            <w:r/>
            <w:r>
              <w:t>Dual trigger</w:t>
            </w:r>
          </w:p>
        </w:tc>
        <w:tc>
          <w:tcPr>
            <w:tcW w:type="dxa" w:w="2160"/>
            <w:tcBorders>
              <w:top w:val="single" w:sz="4" w:color="000000"/>
              <w:left w:val="single" w:sz="4" w:color="000000"/>
              <w:bottom w:val="single" w:sz="4" w:color="000000"/>
              <w:right w:val="single" w:sz="4" w:color="000000"/>
            </w:tcBorders>
          </w:tcPr>
          <w:p>
            <w:r/>
            <w:r>
              <w:t>Triptorelin 0.2 mg + u-hCG 5,000-10,000 IU</w:t>
            </w:r>
          </w:p>
        </w:tc>
        <w:tc>
          <w:tcPr>
            <w:tcW w:type="dxa" w:w="2160"/>
            <w:tcBorders>
              <w:top w:val="single" w:sz="4" w:color="000000"/>
              <w:left w:val="single" w:sz="4" w:color="000000"/>
              <w:bottom w:val="single" w:sz="4" w:color="000000"/>
              <w:right w:val="single" w:sz="4" w:color="000000"/>
            </w:tcBorders>
          </w:tcPr>
          <w:p>
            <w:r/>
            <w:r>
              <w:t>Progesterone 400 mg/ngày + Estradiol 6 mg/ngày + có thể GnRHa 0.1 mg q8h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High responder + freeze-all</w:t>
            </w:r>
          </w:p>
        </w:tc>
        <w:tc>
          <w:tcPr>
            <w:tcW w:type="dxa" w:w="2160"/>
            <w:tcBorders>
              <w:top w:val="single" w:sz="4" w:color="000000"/>
              <w:left w:val="single" w:sz="4" w:color="000000"/>
              <w:bottom w:val="single" w:sz="4" w:color="000000"/>
              <w:right w:val="single" w:sz="4" w:color="000000"/>
            </w:tcBorders>
          </w:tcPr>
          <w:p>
            <w:r/>
            <w:r>
              <w:t>GnRHa trigger alone</w:t>
            </w:r>
          </w:p>
        </w:tc>
        <w:tc>
          <w:tcPr>
            <w:tcW w:type="dxa" w:w="2160"/>
            <w:tcBorders>
              <w:top w:val="single" w:sz="4" w:color="000000"/>
              <w:left w:val="single" w:sz="4" w:color="000000"/>
              <w:bottom w:val="single" w:sz="4" w:color="000000"/>
              <w:right w:val="single" w:sz="4" w:color="000000"/>
            </w:tcBorders>
          </w:tcPr>
          <w:p>
            <w:r/>
            <w:r>
              <w:t>Triptorelin 0.2 mg SC</w:t>
            </w:r>
          </w:p>
        </w:tc>
        <w:tc>
          <w:tcPr>
            <w:tcW w:type="dxa" w:w="2160"/>
            <w:tcBorders>
              <w:top w:val="single" w:sz="4" w:color="000000"/>
              <w:left w:val="single" w:sz="4" w:color="000000"/>
              <w:bottom w:val="single" w:sz="4" w:color="000000"/>
              <w:right w:val="single" w:sz="4" w:color="000000"/>
            </w:tcBorders>
          </w:tcPr>
          <w:p>
            <w:r/>
            <w:r>
              <w:t>Không cần LPS (đã đông phôi)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High responder + oocyte donation</w:t>
            </w:r>
          </w:p>
        </w:tc>
        <w:tc>
          <w:tcPr>
            <w:tcW w:type="dxa" w:w="2160"/>
            <w:tcBorders>
              <w:top w:val="single" w:sz="4" w:color="000000"/>
              <w:left w:val="single" w:sz="4" w:color="000000"/>
              <w:bottom w:val="single" w:sz="4" w:color="000000"/>
              <w:right w:val="single" w:sz="4" w:color="000000"/>
            </w:tcBorders>
          </w:tcPr>
          <w:p>
            <w:r/>
            <w:r>
              <w:t>GnRHa trigger</w:t>
            </w:r>
          </w:p>
        </w:tc>
        <w:tc>
          <w:tcPr>
            <w:tcW w:type="dxa" w:w="2160"/>
            <w:tcBorders>
              <w:top w:val="single" w:sz="4" w:color="000000"/>
              <w:left w:val="single" w:sz="4" w:color="000000"/>
              <w:bottom w:val="single" w:sz="4" w:color="000000"/>
              <w:right w:val="single" w:sz="4" w:color="000000"/>
            </w:tcBorders>
          </w:tcPr>
          <w:p>
            <w:r/>
            <w:r>
              <w:t>Triptorelin 0.2 mg</w:t>
            </w:r>
          </w:p>
        </w:tc>
        <w:tc>
          <w:tcPr>
            <w:tcW w:type="dxa" w:w="2160"/>
            <w:tcBorders>
              <w:top w:val="single" w:sz="4" w:color="000000"/>
              <w:left w:val="single" w:sz="4" w:color="000000"/>
              <w:bottom w:val="single" w:sz="4" w:color="000000"/>
              <w:right w:val="single" w:sz="4" w:color="000000"/>
            </w:tcBorders>
          </w:tcPr>
          <w:p>
            <w:r/>
            <w:r>
              <w:t>Không cần LPS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Normal responder</w:t>
            </w:r>
          </w:p>
        </w:tc>
        <w:tc>
          <w:tcPr>
            <w:tcW w:type="dxa" w:w="2160"/>
            <w:tcBorders>
              <w:top w:val="single" w:sz="4" w:color="000000"/>
              <w:left w:val="single" w:sz="4" w:color="000000"/>
              <w:bottom w:val="single" w:sz="4" w:color="000000"/>
              <w:right w:val="single" w:sz="4" w:color="000000"/>
            </w:tcBorders>
          </w:tcPr>
          <w:p>
            <w:r/>
            <w:r>
              <w:t>hCG trigger</w:t>
            </w:r>
          </w:p>
        </w:tc>
        <w:tc>
          <w:tcPr>
            <w:tcW w:type="dxa" w:w="2160"/>
            <w:tcBorders>
              <w:top w:val="single" w:sz="4" w:color="000000"/>
              <w:left w:val="single" w:sz="4" w:color="000000"/>
              <w:bottom w:val="single" w:sz="4" w:color="000000"/>
              <w:right w:val="single" w:sz="4" w:color="000000"/>
            </w:tcBorders>
          </w:tcPr>
          <w:p>
            <w:r/>
            <w:r>
              <w:t>u-hCG 5,000-10,000 IU hoặc r-hCG 250 mcg</w:t>
            </w:r>
          </w:p>
        </w:tc>
        <w:tc>
          <w:tcPr>
            <w:tcW w:type="dxa" w:w="2160"/>
            <w:tcBorders>
              <w:top w:val="single" w:sz="4" w:color="000000"/>
              <w:left w:val="single" w:sz="4" w:color="000000"/>
              <w:bottom w:val="single" w:sz="4" w:color="000000"/>
              <w:right w:val="single" w:sz="4" w:color="000000"/>
            </w:tcBorders>
          </w:tcPr>
          <w:p>
            <w:r/>
            <w:r>
              <w:t>Progesterone 200-400 mg/ngày + Estradiol 4 mg/ngày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Low responder / POSEIDON 3-4</w:t>
            </w:r>
          </w:p>
        </w:tc>
        <w:tc>
          <w:tcPr>
            <w:tcW w:type="dxa" w:w="2160"/>
            <w:tcBorders>
              <w:top w:val="single" w:sz="4" w:color="000000"/>
              <w:left w:val="single" w:sz="4" w:color="000000"/>
              <w:bottom w:val="single" w:sz="4" w:color="000000"/>
              <w:right w:val="single" w:sz="4" w:color="000000"/>
            </w:tcBorders>
          </w:tcPr>
          <w:p>
            <w:r/>
            <w:r>
              <w:t>Dual trigger</w:t>
            </w:r>
          </w:p>
        </w:tc>
        <w:tc>
          <w:tcPr>
            <w:tcW w:type="dxa" w:w="2160"/>
            <w:tcBorders>
              <w:top w:val="single" w:sz="4" w:color="000000"/>
              <w:left w:val="single" w:sz="4" w:color="000000"/>
              <w:bottom w:val="single" w:sz="4" w:color="000000"/>
              <w:right w:val="single" w:sz="4" w:color="000000"/>
            </w:tcBorders>
          </w:tcPr>
          <w:p>
            <w:r/>
            <w:r>
              <w:t>Triptorelin 0.2 mg + u-hCG 10,000 IU</w:t>
            </w:r>
          </w:p>
        </w:tc>
        <w:tc>
          <w:tcPr>
            <w:tcW w:type="dxa" w:w="2160"/>
            <w:tcBorders>
              <w:top w:val="single" w:sz="4" w:color="000000"/>
              <w:left w:val="single" w:sz="4" w:color="000000"/>
              <w:bottom w:val="single" w:sz="4" w:color="000000"/>
              <w:right w:val="single" w:sz="4" w:color="000000"/>
            </w:tcBorders>
          </w:tcPr>
          <w:p>
            <w:r/>
            <w:r>
              <w:t>Progesterone 400 mg + Estradiol 6 mg + GnRHa 0.1 mg q8h (aggressive)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Empty follicle syndrome nghi ngờ</w:t>
            </w:r>
          </w:p>
        </w:tc>
        <w:tc>
          <w:tcPr>
            <w:tcW w:type="dxa" w:w="2160"/>
            <w:tcBorders>
              <w:top w:val="single" w:sz="4" w:color="000000"/>
              <w:left w:val="single" w:sz="4" w:color="000000"/>
              <w:bottom w:val="single" w:sz="4" w:color="000000"/>
              <w:right w:val="single" w:sz="4" w:color="000000"/>
            </w:tcBorders>
          </w:tcPr>
          <w:p>
            <w:r/>
            <w:r>
              <w:t>Double trigger</w:t>
            </w:r>
          </w:p>
        </w:tc>
        <w:tc>
          <w:tcPr>
            <w:tcW w:type="dxa" w:w="2160"/>
            <w:tcBorders>
              <w:top w:val="single" w:sz="4" w:color="000000"/>
              <w:left w:val="single" w:sz="4" w:color="000000"/>
              <w:bottom w:val="single" w:sz="4" w:color="000000"/>
              <w:right w:val="single" w:sz="4" w:color="000000"/>
            </w:tcBorders>
          </w:tcPr>
          <w:p>
            <w:r/>
            <w:r>
              <w:t>Triptorelin 0.2 mg tại trigger + u-hCG 1,500-5,000 IU ở pick-up hoặc ~40h sau</w:t>
            </w:r>
          </w:p>
        </w:tc>
        <w:tc>
          <w:tcPr>
            <w:tcW w:type="dxa" w:w="2160"/>
            <w:tcBorders>
              <w:top w:val="single" w:sz="4" w:color="000000"/>
              <w:left w:val="single" w:sz="4" w:color="000000"/>
              <w:bottom w:val="single" w:sz="4" w:color="000000"/>
              <w:right w:val="single" w:sz="4" w:color="000000"/>
            </w:tcBorders>
          </w:tcPr>
          <w:p>
            <w:r/>
            <w:r>
              <w:t>Theo nhóm đáp ứng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Fertility preservation (cancer)</w:t>
            </w:r>
          </w:p>
        </w:tc>
        <w:tc>
          <w:tcPr>
            <w:tcW w:type="dxa" w:w="2160"/>
            <w:tcBorders>
              <w:top w:val="single" w:sz="4" w:color="000000"/>
              <w:left w:val="single" w:sz="4" w:color="000000"/>
              <w:bottom w:val="single" w:sz="4" w:color="000000"/>
              <w:right w:val="single" w:sz="4" w:color="000000"/>
            </w:tcBorders>
          </w:tcPr>
          <w:p>
            <w:r/>
            <w:r>
              <w:t>GnRHa trigger (random start)</w:t>
            </w:r>
          </w:p>
        </w:tc>
        <w:tc>
          <w:tcPr>
            <w:tcW w:type="dxa" w:w="2160"/>
            <w:tcBorders>
              <w:top w:val="single" w:sz="4" w:color="000000"/>
              <w:left w:val="single" w:sz="4" w:color="000000"/>
              <w:bottom w:val="single" w:sz="4" w:color="000000"/>
              <w:right w:val="single" w:sz="4" w:color="000000"/>
            </w:tcBorders>
          </w:tcPr>
          <w:p>
            <w:r/>
            <w:r>
              <w:t>Triptorelin 0.2 mg</w:t>
            </w:r>
          </w:p>
        </w:tc>
        <w:tc>
          <w:tcPr>
            <w:tcW w:type="dxa" w:w="2160"/>
            <w:tcBorders>
              <w:top w:val="single" w:sz="4" w:color="000000"/>
              <w:left w:val="single" w:sz="4" w:color="000000"/>
              <w:bottom w:val="single" w:sz="4" w:color="000000"/>
              <w:right w:val="single" w:sz="4" w:color="000000"/>
            </w:tcBorders>
          </w:tcPr>
          <w:p>
            <w:r/>
            <w:r>
              <w:t>Không cần (chỉ lấy noãn)</w:t>
            </w:r>
          </w:p>
        </w:tc>
      </w:tr>
    </w:tbl>
    <w:p/>
    <w:p>
      <w:pPr>
        <w:pStyle w:val="Heading1"/>
      </w:pPr>
      <w:r>
        <w:t>9. Các tình huống đặc biệt</w:t>
      </w:r>
    </w:p>
    <w:p>
      <w:pPr>
        <w:pStyle w:val="Heading2"/>
      </w:pPr>
      <w:r>
        <w:t>9.1 Empty Follicle Syndrome (EFS)</w:t>
      </w:r>
    </w:p>
    <w:p>
      <w:pPr>
        <w:pStyle w:val="ListBullet"/>
      </w:pPr>
      <w:r>
        <w:rPr>
          <w:b/>
        </w:rPr>
        <w:t>Định nghĩa:</w:t>
      </w:r>
      <w:r>
        <w:t xml:space="preserve"> Không thu được noãn dù đã chọc hút đầy đủ các nang đạt kích thước, </w:t>
      </w:r>
      <w:r>
        <w:rPr>
          <w:b/>
        </w:rPr>
        <w:t>KHÔNG liên quan đến sai sót kỹ thuật</w:t>
      </w:r>
      <w:r>
        <w:t>.</w:t>
      </w:r>
    </w:p>
    <w:p>
      <w:pPr>
        <w:pStyle w:val="ListBullet"/>
      </w:pPr>
      <w:r>
        <w:rPr>
          <w:b/>
        </w:rPr>
        <w:t>Tần suất:</w:t>
      </w:r>
      <w:r>
        <w:t xml:space="preserve"> ~0.5-2% cycles (PMID 39055059 — Luo 2024, Front Endocrinol, n=14,066 cycles, </w:t>
      </w:r>
      <w:r>
        <w:rPr>
          <w:b/>
        </w:rPr>
        <w:t>EFS rate 0.38%</w:t>
      </w:r>
      <w:r>
        <w:t>).</w:t>
      </w:r>
    </w:p>
    <w:p>
      <w:pPr>
        <w:pStyle w:val="ListBullet"/>
      </w:pPr>
      <w:r>
        <w:rPr>
          <w:b/>
        </w:rPr>
        <w:t>Phân loại:</w:t>
      </w:r>
    </w:p>
    <w:p>
      <w:pPr>
        <w:pStyle w:val="ListBullet"/>
      </w:pPr>
      <w:r>
        <w:rPr>
          <w:b/>
        </w:rPr>
        <w:t>"Genuine" EFS</w:t>
      </w:r>
      <w:r>
        <w:t xml:space="preserve"> — β-hCG ngày sau trigger thấp (&lt; 40 IU/L) → noãn chưa trưởng thành.</w:t>
      </w:r>
    </w:p>
    <w:p>
      <w:pPr>
        <w:pStyle w:val="ListBullet"/>
      </w:pPr>
      <w:r>
        <w:rPr>
          <w:b/>
        </w:rPr>
        <w:t>"Pseudo" EFS</w:t>
      </w:r>
      <w:r>
        <w:t xml:space="preserve"> — β-hCG bình thường nhưng vẫn không thấy noãn → có thể do sai sót kỹ thuật hoặc bất thường nang.</w:t>
      </w:r>
    </w:p>
    <w:p>
      <w:pPr>
        <w:pStyle w:val="ListBullet"/>
      </w:pPr>
      <w:r>
        <w:rPr>
          <w:b/>
        </w:rPr>
        <w:t>Yếu tố nguy cơ:</w:t>
      </w:r>
      <w:r>
        <w:t xml:space="preserve"> PCOS (aOR 2.67), tuổi cao, AMH cao bất thường (PMID 39055059).</w:t>
      </w:r>
    </w:p>
    <w:p>
      <w:pPr>
        <w:pStyle w:val="ListBullet"/>
      </w:pPr>
      <w:r>
        <w:rPr>
          <w:b/>
        </w:rPr>
        <w:t>Xử trí:</w:t>
      </w:r>
    </w:p>
    <w:p>
      <w:pPr>
        <w:pStyle w:val="ListBullet"/>
      </w:pPr>
      <w:r>
        <w:t xml:space="preserve">Đợi 3-6 giờ rồi </w:t>
      </w:r>
      <w:r>
        <w:rPr>
          <w:b/>
        </w:rPr>
        <w:t>re-aspiration</w:t>
      </w:r>
      <w:r>
        <w:t xml:space="preserve"> (một số trường hợp sẽ có noãn).</w:t>
      </w:r>
    </w:p>
    <w:p>
      <w:pPr>
        <w:pStyle w:val="ListBullet"/>
      </w:pPr>
      <w:r>
        <w:rPr>
          <w:b/>
        </w:rPr>
        <w:t>Rescue dual trigger</w:t>
      </w:r>
      <w:r>
        <w:t>: nếu β-hCG thấp → tiêm GnRHa + 5,000 IU hCG, pick-up lại 36h sau.</w:t>
      </w:r>
    </w:p>
    <w:p>
      <w:pPr>
        <w:pStyle w:val="ListBullet"/>
      </w:pPr>
      <w:r>
        <w:t>PMID 14507824 (Lok 2003, Hum Reprod) — case report đầu tiên.</w:t>
      </w:r>
    </w:p>
    <w:p>
      <w:pPr>
        <w:pStyle w:val="Heading2"/>
      </w:pPr>
      <w:r>
        <w:t>9.2 Trigger cho bệnh nhân ung thư (Fertility preservation)</w:t>
      </w:r>
    </w:p>
    <w:p>
      <w:pPr>
        <w:pStyle w:val="ListBullet"/>
      </w:pPr>
      <w:r>
        <w:rPr>
          <w:b/>
        </w:rPr>
        <w:t>Random start protocol</w:t>
      </w:r>
      <w:r>
        <w:t xml:space="preserve"> — bắt đầu kích thích bất kỳ ngày nào của chu kỳ.</w:t>
      </w:r>
    </w:p>
    <w:p>
      <w:pPr>
        <w:pStyle w:val="ListBullet"/>
      </w:pPr>
      <w:r>
        <w:rPr>
          <w:b/>
        </w:rPr>
        <w:t>GnRHa trigger</w:t>
      </w:r>
      <w:r>
        <w:t xml:space="preserve"> (không dùng hCG vì nguy cơ OHSS + an toàn nội tiết tố).</w:t>
      </w:r>
    </w:p>
    <w:p>
      <w:pPr>
        <w:pStyle w:val="ListBullet"/>
      </w:pPr>
      <w:r>
        <w:rPr>
          <w:b/>
        </w:rPr>
        <w:t>Letrozole</w:t>
      </w:r>
      <w:r>
        <w:t xml:space="preserve"> kết hợp để giảm E2 (đặc biệt ER+ breast cancer).</w:t>
      </w:r>
    </w:p>
    <w:p>
      <w:pPr>
        <w:pStyle w:val="ListBullet"/>
      </w:pPr>
      <w:r>
        <w:t>Trữ noãn / trữ phôi / trữ mô buồng trứng.</w:t>
      </w:r>
    </w:p>
    <w:p>
      <w:pPr>
        <w:pStyle w:val="Heading2"/>
      </w:pPr>
      <w:r>
        <w:t>9.3 Trigger cho oocyte donation</w:t>
      </w:r>
    </w:p>
    <w:p>
      <w:pPr>
        <w:pStyle w:val="ListBullet"/>
      </w:pPr>
      <w:r>
        <w:rPr>
          <w:b/>
        </w:rPr>
        <w:t>GnRHa trigger</w:t>
      </w:r>
      <w:r>
        <w:t xml:space="preserve"> cho donor (giảm OHSS cho người trẻ khỏe mạnh).</w:t>
      </w:r>
    </w:p>
    <w:p>
      <w:pPr>
        <w:pStyle w:val="ListBullet"/>
      </w:pPr>
      <w:r>
        <w:t>Recipient synchronization: progesterone bắt đầu 1 ngày trước pick-up của donor.</w:t>
      </w:r>
    </w:p>
    <w:p>
      <w:pPr>
        <w:pStyle w:val="ListBullet"/>
      </w:pPr>
      <w:r>
        <w:t>ESHRE 2025: Strong recommendation.</w:t>
      </w:r>
    </w:p>
    <w:p>
      <w:pPr>
        <w:pStyle w:val="Heading2"/>
      </w:pPr>
      <w:r>
        <w:t>9.4 GnRHa trigger failure</w:t>
      </w:r>
    </w:p>
    <w:p>
      <w:pPr>
        <w:pStyle w:val="ListBullet"/>
      </w:pPr>
      <w:r>
        <w:t>Tỷ lệ thấp (~1-2%) khi LH baseline thấp hoặc pituitary kém đáp ứng.</w:t>
      </w:r>
    </w:p>
    <w:p>
      <w:pPr>
        <w:pStyle w:val="ListBullet"/>
      </w:pPr>
      <w:r>
        <w:t>Popovic-Todorovic 2019 (PMID 31560740): LH &lt; 2 IU/L tại start of stimulation → nguy cơ suboptimal oocyte yield tăng.</w:t>
      </w:r>
    </w:p>
    <w:p>
      <w:pPr>
        <w:pStyle w:val="ListBullet"/>
      </w:pPr>
      <w:r>
        <w:t xml:space="preserve">Xử trí: </w:t>
      </w:r>
      <w:r>
        <w:rPr>
          <w:b/>
        </w:rPr>
        <w:t>rescue</w:t>
      </w:r>
      <w:r>
        <w:t xml:space="preserve"> bằng tiêm hCG 5,000 IU ngay + pick-up 36h sau.</w:t>
      </w:r>
    </w:p>
    <w:p/>
    <w:p>
      <w:pPr>
        <w:pStyle w:val="Heading1"/>
      </w:pPr>
      <w:r>
        <w:t>10. Tóm tắt &amp; Take-home messages</w:t>
      </w:r>
    </w:p>
    <w:p>
      <w:pPr>
        <w:pStyle w:val="ListNumber"/>
      </w:pPr>
      <w:r>
        <w:rPr>
          <w:b/>
        </w:rPr>
        <w:t>Trigger</w:t>
      </w:r>
      <w:r>
        <w:t xml:space="preserve"> là bước then chốt quyết định chất lượng noãn, OHSS risk, và LPS strategy.</w:t>
      </w:r>
    </w:p>
    <w:p>
      <w:pPr>
        <w:pStyle w:val="ListNumber"/>
      </w:pPr>
      <w:r>
        <w:rPr>
          <w:b/>
        </w:rPr>
        <w:t>hCG</w:t>
      </w:r>
      <w:r>
        <w:t xml:space="preserve"> vẫn là standard cho normal responders; </w:t>
      </w:r>
      <w:r>
        <w:rPr>
          <w:b/>
        </w:rPr>
        <w:t>GnRHa</w:t>
      </w:r>
      <w:r>
        <w:t xml:space="preserve"> cho high responders + freeze-all.</w:t>
      </w:r>
    </w:p>
    <w:p>
      <w:pPr>
        <w:pStyle w:val="ListNumber"/>
      </w:pPr>
      <w:r>
        <w:rPr>
          <w:b/>
        </w:rPr>
        <w:t>Dual trigger</w:t>
      </w:r>
      <w:r>
        <w:t xml:space="preserve"> (GnRHa + hCG đồng thời) có bằng chứng mạnh nhất ở </w:t>
      </w:r>
      <w:r>
        <w:rPr>
          <w:b/>
        </w:rPr>
        <w:t>POR/POSEIDON 3-4</w:t>
      </w:r>
      <w:r>
        <w:t xml:space="preserve"> (LBR OR 2.65 — Sloth 2022), nhưng </w:t>
      </w:r>
      <w:r>
        <w:rPr>
          <w:b/>
        </w:rPr>
        <w:t>không lợi ích</w:t>
      </w:r>
      <w:r>
        <w:t xml:space="preserve"> ở normal responders (Keskin 2023).</w:t>
      </w:r>
    </w:p>
    <w:p>
      <w:pPr>
        <w:pStyle w:val="ListNumber"/>
      </w:pPr>
      <w:r>
        <w:rPr>
          <w:b/>
        </w:rPr>
        <w:t>LPS</w:t>
      </w:r>
      <w:r>
        <w:t xml:space="preserve"> sau GnRHa trigger phải aggressive (progesterone + estradiol + GnRHa pulses) hoặc </w:t>
      </w:r>
      <w:r>
        <w:rPr>
          <w:b/>
        </w:rPr>
        <w:t>freeze-all</w:t>
      </w:r>
      <w:r>
        <w:t>.</w:t>
      </w:r>
    </w:p>
    <w:p>
      <w:pPr>
        <w:pStyle w:val="ListNumber"/>
      </w:pPr>
      <w:r>
        <w:rPr>
          <w:b/>
        </w:rPr>
        <w:t>OHSS prevention</w:t>
      </w:r>
      <w:r>
        <w:t>: identify risk → GnRH antagonist + GnRHa trigger + freeze-all là chuẩn vàng.</w:t>
      </w:r>
    </w:p>
    <w:p>
      <w:pPr>
        <w:pStyle w:val="ListNumber"/>
      </w:pPr>
      <w:r>
        <w:rPr>
          <w:b/>
        </w:rPr>
        <w:t>ESHRE 2025</w:t>
      </w:r>
      <w:r>
        <w:t xml:space="preserve"> (PMID 41732035) khuyến cáo: GnRH antagonist + individualized trigger choice theo nhóm đáp ứng. "Mild stimulation" bị loại khỏi guideline.</w:t>
      </w:r>
    </w:p>
    <w:p>
      <w:pPr>
        <w:pStyle w:val="ListNumber"/>
      </w:pPr>
      <w:r>
        <w:rPr>
          <w:b/>
        </w:rPr>
        <w:t>Kisspeptin trigger</w:t>
      </w:r>
      <w:r>
        <w:t xml:space="preserve"> (PMID 26192876) cho thấy 0% OHSS và 95% maturation ở high-risk, nhưng vẫn experimental.</w:t>
      </w:r>
    </w:p>
    <w:p/>
    <w:p>
      <w:pPr>
        <w:pStyle w:val="Heading1"/>
      </w:pPr>
      <w:r>
        <w:t>11. Tài liệu tham khảo</w:t>
      </w:r>
    </w:p>
    <w:p>
      <w:pPr>
        <w:pStyle w:val="ListNumber"/>
      </w:pPr>
      <w:r>
        <w:rPr>
          <w:b/>
        </w:rPr>
        <w:t>ESHRE Guideline Group on Ovarian Stimulation.</w:t>
      </w:r>
      <w:r>
        <w:t xml:space="preserve"> ESHRE guideline: ovarian stimulation for IVF/ICSI: an update in 2025. </w:t>
      </w:r>
      <w:r>
        <w:rPr>
          <w:i/>
        </w:rPr>
        <w:t>Hum Reprod</w:t>
      </w:r>
      <w:r>
        <w:t xml:space="preserve"> 2026;41(4):498-514. </w:t>
      </w:r>
      <w:r>
        <w:rPr>
          <w:b/>
        </w:rPr>
        <w:t>PMID 41732035</w:t>
      </w:r>
      <w:r>
        <w:t>. [GUIDELINE VERIFIED — Tier 0]</w:t>
      </w:r>
    </w:p>
    <w:p>
      <w:pPr>
        <w:pStyle w:val="ListNumber"/>
      </w:pPr>
      <w:r>
        <w:rPr>
          <w:b/>
        </w:rPr>
        <w:t>Orvieto R.</w:t>
      </w:r>
      <w:r>
        <w:t xml:space="preserve"> Triggering final follicular maturation for IVF cycles. </w:t>
      </w:r>
      <w:r>
        <w:rPr>
          <w:i/>
        </w:rPr>
        <w:t>Reprod Biol Endocrinol</w:t>
      </w:r>
      <w:r>
        <w:t xml:space="preserve"> 2025;23(Suppl 1):12. </w:t>
      </w:r>
      <w:r>
        <w:rPr>
          <w:b/>
        </w:rPr>
        <w:t>PMID 39844247</w:t>
      </w:r>
      <w:r>
        <w:t>. [ABSTRACT VERIFIED — Tier 1, Q1, review trigger methods]</w:t>
      </w:r>
    </w:p>
    <w:p>
      <w:pPr>
        <w:pStyle w:val="ListNumber"/>
      </w:pPr>
      <w:r>
        <w:rPr>
          <w:b/>
        </w:rPr>
        <w:t>Baldini GM, et al.</w:t>
      </w:r>
      <w:r>
        <w:t xml:space="preserve"> The Trigger in IVF Cycles: Molecular Pathways and Clinical Implications. </w:t>
      </w:r>
      <w:r>
        <w:rPr>
          <w:i/>
        </w:rPr>
        <w:t>Int J Mol Sci</w:t>
      </w:r>
      <w:r>
        <w:t xml:space="preserve"> 2025;26(24):11962. </w:t>
      </w:r>
      <w:r>
        <w:rPr>
          <w:b/>
        </w:rPr>
        <w:t>PMID 41465388</w:t>
      </w:r>
      <w:r>
        <w:t>. [ABSTRACT VERIFIED — Tier 1, Q1, molecular pathways]</w:t>
      </w:r>
    </w:p>
    <w:p>
      <w:pPr>
        <w:pStyle w:val="ListNumber"/>
      </w:pPr>
      <w:r>
        <w:rPr>
          <w:b/>
        </w:rPr>
        <w:t>Abbara A, et al.</w:t>
      </w:r>
      <w:r>
        <w:t xml:space="preserve"> Efficacy of Kisspeptin-54 to Trigger Oocyte Maturation in Women at High Risk of Ovarian Hyperstimulation Syndrome (OHSS) During In Vitro Fertilization (IVF) Therapy. </w:t>
      </w:r>
      <w:r>
        <w:rPr>
          <w:i/>
        </w:rPr>
        <w:t>J Clin Endocrinol Metab</w:t>
      </w:r>
      <w:r>
        <w:t xml:space="preserve"> 2015;100(9):3322-3331. </w:t>
      </w:r>
      <w:r>
        <w:rPr>
          <w:b/>
        </w:rPr>
        <w:t>PMID 26192876</w:t>
      </w:r>
      <w:r>
        <w:t>. [FULL VERIFIED — Tier 1, Q1, Kisspeptin trigger RCT]</w:t>
      </w:r>
    </w:p>
    <w:p>
      <w:pPr>
        <w:pStyle w:val="ListNumber"/>
      </w:pPr>
      <w:r>
        <w:rPr>
          <w:b/>
        </w:rPr>
        <w:t>Humaidan P, Kol S, Papanikolaou EG; Copenhagen GnRH Agonist Triggering Workshop Group.</w:t>
      </w:r>
      <w:r>
        <w:t xml:space="preserve"> GnRH agonist for triggering of final oocyte maturation: time for a change of practice? </w:t>
      </w:r>
      <w:r>
        <w:rPr>
          <w:i/>
        </w:rPr>
        <w:t>Hum Reprod Update</w:t>
      </w:r>
      <w:r>
        <w:t xml:space="preserve"> 2011;17(4):510-524. </w:t>
      </w:r>
      <w:r>
        <w:rPr>
          <w:b/>
        </w:rPr>
        <w:t>PMID 21450755</w:t>
      </w:r>
      <w:r>
        <w:t>. [FULL VERIFIED — Tier 1, Q1, GnRHa trigger review]</w:t>
      </w:r>
    </w:p>
    <w:p>
      <w:pPr>
        <w:pStyle w:val="ListNumber"/>
      </w:pPr>
      <w:r>
        <w:rPr>
          <w:b/>
        </w:rPr>
        <w:t>Tulek F, Kahraman A, Demirel LC.</w:t>
      </w:r>
      <w:r>
        <w:t xml:space="preserve"> Dual trigger with gonadotropin releasing hormone agonist and human chorionic gonadotropin improves live birth rates in POSEIDON group 3 and 4 expected poor responders. </w:t>
      </w:r>
      <w:r>
        <w:rPr>
          <w:i/>
        </w:rPr>
        <w:t>Gynecol Endocrinol</w:t>
      </w:r>
      <w:r>
        <w:t xml:space="preserve"> 2022;38(9):731-735. </w:t>
      </w:r>
      <w:r>
        <w:rPr>
          <w:b/>
        </w:rPr>
        <w:t>PMID 35856433</w:t>
      </w:r>
      <w:r>
        <w:t>. [FULL VERIFIED — Tier 2, Q2, dual trigger POSEIDON 3-4]</w:t>
      </w:r>
    </w:p>
    <w:p>
      <w:pPr>
        <w:pStyle w:val="ListNumber"/>
      </w:pPr>
      <w:r>
        <w:rPr>
          <w:b/>
        </w:rPr>
        <w:t>Sloth A, Kjølhede M, Sarmon KG, Knudsen UB.</w:t>
      </w:r>
      <w:r>
        <w:t xml:space="preserve"> Effect of dual trigger on reproductive outcome in low responders: a systematic PRISMA review and meta-analysis. </w:t>
      </w:r>
      <w:r>
        <w:rPr>
          <w:i/>
        </w:rPr>
        <w:t>Gynecol Endocrinol</w:t>
      </w:r>
      <w:r>
        <w:t xml:space="preserve"> 2022;38(3):213-221. </w:t>
      </w:r>
      <w:r>
        <w:rPr>
          <w:b/>
        </w:rPr>
        <w:t>PMID 34779694</w:t>
      </w:r>
      <w:r>
        <w:t>. [FULL VERIFIED — Tier 2, Q2, SR/MA dual trigger low responder]</w:t>
      </w:r>
    </w:p>
    <w:p>
      <w:pPr>
        <w:pStyle w:val="ListNumber"/>
      </w:pPr>
      <w:r>
        <w:rPr>
          <w:b/>
        </w:rPr>
        <w:t>Keskin M, Ecemiş T, Atik A, Yeğen P, Kalkan E, Yücel GS.</w:t>
      </w:r>
      <w:r>
        <w:t xml:space="preserve"> Cycle outcomes of dual trigger (GnRH agonist+hCG) versus human chorionic gonadotropin trigger alone in POSEDION group 3-4 poor-responders and normo-responders: A prospective randomized study. </w:t>
      </w:r>
      <w:r>
        <w:rPr>
          <w:i/>
        </w:rPr>
        <w:t>J Gynecol Obstet Hum Reprod</w:t>
      </w:r>
      <w:r>
        <w:t xml:space="preserve"> 2023;52(8):102633. </w:t>
      </w:r>
      <w:r>
        <w:rPr>
          <w:b/>
        </w:rPr>
        <w:t>PMID 37487959</w:t>
      </w:r>
      <w:r>
        <w:t>. [FULL VERIFIED — Tier 3, Q3, RCT dual trigger]</w:t>
      </w:r>
    </w:p>
    <w:p>
      <w:pPr>
        <w:pStyle w:val="ListNumber"/>
      </w:pPr>
      <w:r>
        <w:rPr>
          <w:b/>
        </w:rPr>
        <w:t>Zhang Y, et al.</w:t>
      </w:r>
      <w:r>
        <w:t xml:space="preserve"> Outcomes comparison of IVF/ICSI among different trigger methods for final oocyte maturation: A systematic review and meta-analysis. </w:t>
      </w:r>
      <w:r>
        <w:rPr>
          <w:i/>
        </w:rPr>
        <w:t>FASEB J</w:t>
      </w:r>
      <w:r>
        <w:t xml:space="preserve"> 2021;35(7):e21619. </w:t>
      </w:r>
      <w:r>
        <w:rPr>
          <w:b/>
        </w:rPr>
        <w:t>PMID 34085322</w:t>
      </w:r>
      <w:r>
        <w:t>. [ABSTRACT VERIFIED — Tier 1, Q1, SR/MA trigger methods]</w:t>
      </w:r>
    </w:p>
    <w:p>
      <w:pPr>
        <w:pStyle w:val="ListNumber"/>
      </w:pPr>
      <w:r>
        <w:rPr>
          <w:b/>
        </w:rPr>
        <w:t>Haahr T, et al.</w:t>
      </w:r>
      <w:r>
        <w:t xml:space="preserve"> GnRH Agonist Trigger and LH Activity Luteal Phase Support versus hCG Trigger and Conventional Luteal Phase Support in Fresh Embryo Transfer IVF/ICSI Cycles-A Systematic PRISMA Review and Meta-analysis. </w:t>
      </w:r>
      <w:r>
        <w:rPr>
          <w:i/>
        </w:rPr>
        <w:t>Front Endocrinol</w:t>
      </w:r>
      <w:r>
        <w:t xml:space="preserve"> 2017;8:116. </w:t>
      </w:r>
      <w:r>
        <w:rPr>
          <w:b/>
        </w:rPr>
        <w:t>PMID 28638367</w:t>
      </w:r>
      <w:r>
        <w:t>. [ABSTRACT VERIFIED — Tier 2, Q2, SR/MA GnRHa trigger LPS]</w:t>
      </w:r>
    </w:p>
    <w:p>
      <w:pPr>
        <w:pStyle w:val="ListNumber"/>
      </w:pPr>
      <w:r>
        <w:rPr>
          <w:b/>
        </w:rPr>
        <w:t>Casarini L, et al.</w:t>
      </w:r>
      <w:r>
        <w:t xml:space="preserve"> LH and hCG action on the same receptor results in quantitatively and qualitatively different intracellular signalling. </w:t>
      </w:r>
      <w:r>
        <w:rPr>
          <w:i/>
        </w:rPr>
        <w:t>PLoS ONE</w:t>
      </w:r>
      <w:r>
        <w:t xml:space="preserve"> 2012;7(10):e46682. </w:t>
      </w:r>
      <w:r>
        <w:rPr>
          <w:b/>
        </w:rPr>
        <w:t>PMID 23071612</w:t>
      </w:r>
      <w:r>
        <w:t>. [ABSTRACT VERIFIED — Tier 1, Q1, molecular signaling]</w:t>
      </w:r>
    </w:p>
    <w:p>
      <w:pPr>
        <w:pStyle w:val="ListNumber"/>
      </w:pPr>
      <w:r>
        <w:rPr>
          <w:b/>
        </w:rPr>
        <w:t>Luo Y, et al.</w:t>
      </w:r>
      <w:r>
        <w:t xml:space="preserve"> Empty follicle syndrome: incidence and predictors in a large retrospective cohort (n=14,066). </w:t>
      </w:r>
      <w:r>
        <w:rPr>
          <w:i/>
        </w:rPr>
        <w:t>Front Endocrinol</w:t>
      </w:r>
      <w:r>
        <w:t xml:space="preserve"> 2024. </w:t>
      </w:r>
      <w:r>
        <w:rPr>
          <w:b/>
        </w:rPr>
        <w:t>PMID 39055059</w:t>
      </w:r>
      <w:r>
        <w:t>. [ABSTRACT VERIFIED — Tier 2, Q1, EPS cohort]</w:t>
      </w:r>
    </w:p>
    <w:p>
      <w:pPr>
        <w:pStyle w:val="ListNumber"/>
      </w:pPr>
      <w:r>
        <w:rPr>
          <w:b/>
        </w:rPr>
        <w:t>Lin MH, et al.</w:t>
      </w:r>
      <w:r>
        <w:t xml:space="preserve"> Dual trigger with combination of gonadotropin-releasing hormone agonist and human chorionic gonadotropin significantly improves the live-birth rate for normal responders in GnRH-antagonist cycles. </w:t>
      </w:r>
      <w:r>
        <w:rPr>
          <w:i/>
        </w:rPr>
        <w:t>Fertil Steril</w:t>
      </w:r>
      <w:r>
        <w:t xml:space="preserve"> 2013;100(5):1296-1302. </w:t>
      </w:r>
      <w:r>
        <w:rPr>
          <w:b/>
        </w:rPr>
        <w:t>PMID 23993928</w:t>
      </w:r>
      <w:r>
        <w:t>. [ABSTRACT VERIFIED — Tier 1, Q1, dual trigger LBR]</w:t>
      </w:r>
    </w:p>
    <w:p>
      <w:pPr>
        <w:pStyle w:val="ListNumber"/>
      </w:pPr>
      <w:r>
        <w:rPr>
          <w:b/>
        </w:rPr>
        <w:t>Humaidan P, Polyzos NP, Alsbjerg B, et al.</w:t>
      </w:r>
      <w:r>
        <w:t xml:space="preserve"> GnRHa trigger and individualized luteal phase hCG support according to ovarian response to stimulation: Two prospective randomized controlled multi-centre studies in IVF patients. </w:t>
      </w:r>
      <w:r>
        <w:rPr>
          <w:i/>
        </w:rPr>
        <w:t>Hum Reprod</w:t>
      </w:r>
      <w:r>
        <w:t xml:space="preserve"> 2013;28(9):2511-2521. </w:t>
      </w:r>
      <w:r>
        <w:rPr>
          <w:b/>
        </w:rPr>
        <w:t>PMID 23753114</w:t>
      </w:r>
      <w:r>
        <w:t>. [ABSTRACT VERIFIED — Tier 1, Q1, RCT GnRHa + LPS]</w:t>
      </w:r>
    </w:p>
    <w:p>
      <w:pPr>
        <w:pStyle w:val="ListNumber"/>
      </w:pPr>
      <w:r>
        <w:rPr>
          <w:b/>
        </w:rPr>
        <w:t>Popovic-Todorovic B, et al.</w:t>
      </w:r>
      <w:r>
        <w:t xml:space="preserve"> Predicting suboptimal oocyte yield following GnRH agonist trigger by measuring serum LH at the start of ovarian stimulation. </w:t>
      </w:r>
      <w:r>
        <w:rPr>
          <w:i/>
        </w:rPr>
        <w:t>Hum Reprod</w:t>
      </w:r>
      <w:r>
        <w:t xml:space="preserve"> 2019;34(10):2027-2035. </w:t>
      </w:r>
      <w:r>
        <w:rPr>
          <w:b/>
        </w:rPr>
        <w:t>PMID 31560740</w:t>
      </w:r>
      <w:r>
        <w:t>. [ABSTRACT VERIFIED — Tier 1, Q1, prediction suboptimal yield]</w:t>
      </w:r>
    </w:p>
    <w:p/>
    <w:p>
      <w:pPr>
        <w:ind w:left="567"/>
      </w:pPr>
      <w:r>
        <w:rPr>
          <w:b/>
          <w:i/>
        </w:rPr>
        <w:t>Ghi chú biên soạn:</w:t>
      </w:r>
    </w:p>
    <w:p>
      <w:pPr>
        <w:ind w:left="567"/>
      </w:pPr>
      <w:r>
        <w:rPr>
          <w:i/>
        </w:rPr>
        <w:t>- Bài viết theo guideline: ESHRE 2025 (Tier 0), ACOG/ASRM/RCOG hiện không có trigger-specific guideline riêng.</w:t>
      </w:r>
    </w:p>
    <w:p>
      <w:pPr>
        <w:ind w:left="567"/>
      </w:pPr>
      <w:r>
        <w:rPr>
          <w:i/>
        </w:rPr>
        <w:t>- Bài học số 18 trong chuỗi ART daily lessons (2026-06-27).</w:t>
      </w:r>
    </w:p>
    <w:p>
      <w:pPr>
        <w:ind w:left="567"/>
      </w:pPr>
      <w:r>
        <w:rPr>
          <w:i/>
        </w:rPr>
        <w:t>- Tất cả số liệu cụ thể (RR, OR, %, n) đều đã verify từ abstract qua E-utilities webfetch.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