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SIÊU ÂM THEO DÕI KÍCH THÍCH BUỒNG TRỨNG TRONG IVF/ICSI</w:t>
      </w:r>
    </w:p>
    <w:p>
      <w:r>
        <w:t>Bai hoc y khoa - US_Monitoring_Ovarian_Stimulation_2026-07-04</w:t>
      </w:r>
    </w:p>
    <w:p>
      <w:pPr>
        <w:pStyle w:val="Title"/>
      </w:pPr>
      <w:r>
        <w:t>SIÊU ÂM THEO DÕI KÍCH THÍCH BUỒNG TRỨNG TRONG IVF/ICSI</w:t>
      </w:r>
    </w:p>
    <w:p>
      <w:r>
        <w:rPr>
          <w:b/>
        </w:rPr>
        <w:t>Ngày:</w:t>
      </w:r>
      <w:r>
        <w:t xml:space="preserve"> 2026-07-04 | </w:t>
      </w:r>
      <w:r>
        <w:rPr>
          <w:b/>
        </w:rPr>
        <w:t>Chuyên khoa:</w:t>
      </w:r>
      <w:r>
        <w:t xml:space="preserve"> Hỗ trợ sinh sản (ART) | </w:t>
      </w:r>
      <w:r>
        <w:rPr>
          <w:b/>
        </w:rPr>
        <w:t>Đối tượng:</w:t>
      </w:r>
      <w:r>
        <w:t xml:space="preserve"> Bác sĩ siêu âm, bác sĩ IVF, học viên ART</w:t>
      </w:r>
    </w:p>
    <w:p>
      <w:pPr>
        <w:ind w:left="567"/>
      </w:pPr>
      <w:r>
        <w:rPr>
          <w:b/>
          <w:i/>
        </w:rPr>
        <w:t>Nguồn chính:</w:t>
      </w:r>
      <w:r>
        <w:rPr>
          <w:i/>
        </w:rPr>
        <w:t xml:space="preserve"> ESHRE 2025 guideline ovarian stimulation (PMID 41732035); ESHRE 2020 (PMID 32395637); ASRM ovarian reserve (PMID 33280722); OHSS consensus (PMID 26597569); Sunkara egg number (PMID 21558332).</w:t>
      </w:r>
    </w:p>
    <w:p>
      <w:pPr>
        <w:ind w:left="567"/>
      </w:pPr>
      <w:r>
        <w:rPr>
          <w:b/>
          <w:i/>
        </w:rPr>
        <w:t>Bài này tập trung vào kỹ thuật siêu âm và ra quyết định lâm sàng dựa trên siêu âm trong quá trình kích thích buồng trứng có kiểm soát. Không lặp chi tiết cơ chế phân tử của từng phác đồ (xem bài Stimulation Protocols) hay cơ chế trigger (xem bài ART Trigger) hay cơ chế OHSS (xem bài OHSS Comprehensive).</w:t>
      </w:r>
    </w:p>
    <w:p/>
    <w:p>
      <w:pPr>
        <w:pStyle w:val="Heading1"/>
      </w:pPr>
      <w:r>
        <w:t>MỤC LỤC</w:t>
      </w:r>
    </w:p>
    <w:p>
      <w:pPr>
        <w:pStyle w:val="ListNumber"/>
      </w:pPr>
      <w:r>
        <w:t>Tổng quan — Vì sao siêu âm là trục chính?</w:t>
      </w:r>
    </w:p>
    <w:p>
      <w:pPr>
        <w:pStyle w:val="ListNumber"/>
      </w:pPr>
      <w:r>
        <w:t>Siêu âm trước kích thích (Baseline scan)</w:t>
      </w:r>
    </w:p>
    <w:p>
      <w:pPr>
        <w:pStyle w:val="ListNumber"/>
      </w:pPr>
      <w:r>
        <w:t>Khung sinh lý cần nhớ khi đọc siêu âm</w:t>
      </w:r>
    </w:p>
    <w:p>
      <w:pPr>
        <w:pStyle w:val="ListNumber"/>
      </w:pPr>
      <w:r>
        <w:t>Kỹ thuật đếm AFC</w:t>
      </w:r>
    </w:p>
    <w:p>
      <w:pPr>
        <w:pStyle w:val="ListNumber"/>
      </w:pPr>
      <w:r>
        <w:t>Theo dõi theo từng loại phác đồ</w:t>
      </w:r>
    </w:p>
    <w:p>
      <w:pPr>
        <w:pStyle w:val="ListNumber"/>
      </w:pPr>
      <w:r>
        <w:t>Kỹ thuật đo nang noãn</w:t>
      </w:r>
    </w:p>
    <w:p>
      <w:pPr>
        <w:pStyle w:val="ListNumber"/>
      </w:pPr>
      <w:r>
        <w:t>Niêm mạc tử cung trong chu kỳ KTBT</w:t>
      </w:r>
    </w:p>
    <w:p>
      <w:pPr>
        <w:pStyle w:val="ListNumber"/>
      </w:pPr>
      <w:r>
        <w:t>Vai trò xét nghiệm nội tiết trong theo dõi</w:t>
      </w:r>
    </w:p>
    <w:p>
      <w:pPr>
        <w:pStyle w:val="ListNumber"/>
      </w:pPr>
      <w:r>
        <w:t>Các điểm quyết định (Decision points)</w:t>
      </w:r>
    </w:p>
    <w:p>
      <w:pPr>
        <w:pStyle w:val="ListNumber"/>
      </w:pPr>
      <w:r>
        <w:t>Theo dõi ở bệnh nhân PCOS / đáp ứng cao</w:t>
      </w:r>
    </w:p>
    <w:p>
      <w:pPr>
        <w:pStyle w:val="ListNumber"/>
      </w:pPr>
      <w:r>
        <w:t>Theo dõi ở bệnh nhân đáp ứng thấp</w:t>
      </w:r>
    </w:p>
    <w:p>
      <w:pPr>
        <w:pStyle w:val="ListNumber"/>
      </w:pPr>
      <w:r>
        <w:t>Nhận diện OHSS trên siêu âm</w:t>
      </w:r>
    </w:p>
    <w:p>
      <w:pPr>
        <w:pStyle w:val="ListNumber"/>
      </w:pPr>
      <w:r>
        <w:t>Quyết định freeze-all dựa trên siêu âm</w:t>
      </w:r>
    </w:p>
    <w:p>
      <w:pPr>
        <w:pStyle w:val="ListNumber"/>
      </w:pPr>
      <w:r>
        <w:t>Mẫu phiếu siêu âm và checklist</w:t>
      </w:r>
    </w:p>
    <w:p>
      <w:pPr>
        <w:pStyle w:val="ListNumber"/>
      </w:pPr>
      <w:r>
        <w:t>Atlas quyết định nhanh</w:t>
      </w:r>
    </w:p>
    <w:p>
      <w:pPr>
        <w:pStyle w:val="ListNumber"/>
      </w:pPr>
      <w:r>
        <w:t>Clinical pearls</w:t>
      </w:r>
    </w:p>
    <w:p>
      <w:pPr>
        <w:pStyle w:val="ListNumber"/>
      </w:pPr>
      <w:r>
        <w:t>Tài liệu tham khảo</w:t>
      </w:r>
    </w:p>
    <w:p/>
    <w:p>
      <w:pPr>
        <w:pStyle w:val="Heading1"/>
      </w:pPr>
      <w:r>
        <w:t>0. TỔNG QUAN — VÌ SAO SIÊU ÂM LÀ TRỤC CHÍNH?</w:t>
      </w:r>
    </w:p>
    <w:p>
      <w:r>
        <w:t>Kích thích buồng trứng có kiểm soát (Controlled Ovarian Stimulation — COS) là bước nền tảng của IVF/ICSI. Trong suốt quá trình này, mỗi lần siêu âm phải trả lời được một câu hỏi điều trị. Siêu âm không chỉ để "đo nang" — nó là công cụ ra quyết định theo thời gian thực.</w:t>
      </w:r>
    </w:p>
    <w:p>
      <w:r>
        <w:rPr>
          <w:b/>
        </w:rPr>
        <w:t>Bốn mục tiêu của theo dõi siêu âm:</w:t>
      </w:r>
    </w:p>
    <w:p>
      <w:pPr>
        <w:pStyle w:val="ListNumber"/>
      </w:pPr>
      <w:r>
        <w:t>Đánh giá đáp ứng buồng trứng: số nang đang phát triển, tốc độ lớn, phân bố kích thước.</w:t>
      </w:r>
    </w:p>
    <w:p>
      <w:pPr>
        <w:pStyle w:val="ListNumber"/>
      </w:pPr>
      <w:r>
        <w:t>Xác định thời điểm dùng GnRH antagonist (trong phác đồ linh hoạt) và thời điểm trigger.</w:t>
      </w:r>
    </w:p>
    <w:p>
      <w:pPr>
        <w:pStyle w:val="ListNumber"/>
      </w:pPr>
      <w:r>
        <w:t>Phát hiện sớm nguy cơ OHSS để điều chỉnh trigger và kế hoạch chuyển phôi.</w:t>
      </w:r>
    </w:p>
    <w:p>
      <w:pPr>
        <w:pStyle w:val="ListNumber"/>
      </w:pPr>
      <w:r>
        <w:t>Đánh giá nội mạc tử cung để quyết định fresh transfer hay freeze-all.</w:t>
      </w:r>
    </w:p>
    <w:p>
      <w:r>
        <w:rPr>
          <w:b/>
        </w:rPr>
        <w:t>Nguyên tắc cốt lõi:</w:t>
      </w:r>
    </w:p>
    <w:p>
      <w:pPr>
        <w:pStyle w:val="ListBullet"/>
      </w:pPr>
      <w:r>
        <w:t>Mỗi lần siêu âm kết thúc bằng một kết luận quản lý: giữ liều, đổi liều, bắt antagonist, trigger, freeze-all, hay chuẩn bị chọc hút.</w:t>
      </w:r>
    </w:p>
    <w:p>
      <w:pPr>
        <w:pStyle w:val="ListBullet"/>
      </w:pPr>
      <w:r>
        <w:t>Siêu âm là phương pháp không xâm nhập, có thể lặp lại, và không thể thay thế bằng xét nghiệm nội tiết đơn thuần.</w:t>
      </w:r>
    </w:p>
    <w:p>
      <w:r>
        <w:rPr>
          <w:b/>
        </w:rPr>
        <w:t>ESHRE 2025 (PMID 41732035) về monitoring:</w:t>
      </w:r>
    </w:p>
    <w:p>
      <w:pPr>
        <w:pStyle w:val="ListBullet"/>
      </w:pPr>
      <w:r>
        <w:t>Không khuyến cáo điều chỉnh liều FSH giữa chu kỳ (conditional recommendation, ⊕◯◯◯). Điều này nhấn mạnh tầm quan trọng của việc chọn đúng liều khởi đầu, và siêu âm đóng vai trò xác nhận đáp ứng đang đi đúng hướng hơn là công cụ để "chỉnh liều từng ngày".</w:t>
      </w:r>
    </w:p>
    <w:p>
      <w:pPr>
        <w:pStyle w:val="ListBullet"/>
      </w:pPr>
      <w:r>
        <w:t>Không khuyến cáo đo E2 thường quy vào ngày trigger cho fresh ET cycle (strong).</w:t>
      </w:r>
    </w:p>
    <w:p>
      <w:pPr>
        <w:pStyle w:val="ListBullet"/>
      </w:pPr>
      <w:r>
        <w:t>Khuyến cáo đo progesterone vào ngày trigger cho fresh ET cycle (conditional).</w:t>
      </w:r>
    </w:p>
    <w:p/>
    <w:p>
      <w:pPr>
        <w:pStyle w:val="Heading1"/>
      </w:pPr>
      <w:r>
        <w:t>1. SIÊU ÂM TRƯỚC KÍCH THÍCH (BASELINE SCAN)</w:t>
      </w:r>
    </w:p>
    <w:p>
      <w:r>
        <w:t>Baseline scan được thực hiện vào ngày 2-4 của chu kỳ kinh (hoặc trước khi bắt đầu FSH), lý tưởng bằng đầu dò âm đạo.</w:t>
      </w:r>
    </w:p>
    <w:p>
      <w:pPr>
        <w:pStyle w:val="Heading2"/>
      </w:pPr>
      <w:r>
        <w:t>1.1. Checklist baseline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cần đánh giá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ghi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quyết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AFC hai buồng trứng</w:t>
            </w:r>
          </w:p>
        </w:tc>
        <w:tc>
          <w:tcPr>
            <w:tcW w:type="dxa" w:w="2880"/>
            <w:tcBorders>
              <w:top w:val="single" w:sz="4" w:color="000000"/>
              <w:left w:val="single" w:sz="4" w:color="000000"/>
              <w:bottom w:val="single" w:sz="4" w:color="000000"/>
              <w:right w:val="single" w:sz="4" w:color="000000"/>
            </w:tcBorders>
          </w:tcPr>
          <w:p>
            <w:r/>
            <w:r>
              <w:t>Tổng số nang 2-9 mm (hoặc 2-10 mm tùy chuẩn) mỗi bên</w:t>
            </w:r>
          </w:p>
        </w:tc>
        <w:tc>
          <w:tcPr>
            <w:tcW w:type="dxa" w:w="2880"/>
            <w:tcBorders>
              <w:top w:val="single" w:sz="4" w:color="000000"/>
              <w:left w:val="single" w:sz="4" w:color="000000"/>
              <w:bottom w:val="single" w:sz="4" w:color="000000"/>
              <w:right w:val="single" w:sz="4" w:color="000000"/>
            </w:tcBorders>
          </w:tcPr>
          <w:p>
            <w:r/>
            <w:r>
              <w:t>Định liều FSH khởi đầu, tiên lượng đáp 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Nang tồn dư / cyst</w:t>
            </w:r>
          </w:p>
        </w:tc>
        <w:tc>
          <w:tcPr>
            <w:tcW w:type="dxa" w:w="2880"/>
            <w:tcBorders>
              <w:top w:val="single" w:sz="4" w:color="000000"/>
              <w:left w:val="single" w:sz="4" w:color="000000"/>
              <w:bottom w:val="single" w:sz="4" w:color="000000"/>
              <w:right w:val="single" w:sz="4" w:color="000000"/>
            </w:tcBorders>
          </w:tcPr>
          <w:p>
            <w:r/>
            <w:r>
              <w:t>Vị trí, kích thước, tính chất (đơn thuần/vách/echo)</w:t>
            </w:r>
          </w:p>
        </w:tc>
        <w:tc>
          <w:tcPr>
            <w:tcW w:type="dxa" w:w="2880"/>
            <w:tcBorders>
              <w:top w:val="single" w:sz="4" w:color="000000"/>
              <w:left w:val="single" w:sz="4" w:color="000000"/>
              <w:bottom w:val="single" w:sz="4" w:color="000000"/>
              <w:right w:val="single" w:sz="4" w:color="000000"/>
            </w:tcBorders>
          </w:tcPr>
          <w:p>
            <w:r/>
            <w:r>
              <w:t>Nang &gt;18 mm cần chọc hút hoặc trì hoãn chu kỳ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Endometrioma</w:t>
            </w:r>
          </w:p>
        </w:tc>
        <w:tc>
          <w:tcPr>
            <w:tcW w:type="dxa" w:w="2880"/>
            <w:tcBorders>
              <w:top w:val="single" w:sz="4" w:color="000000"/>
              <w:left w:val="single" w:sz="4" w:color="000000"/>
              <w:bottom w:val="single" w:sz="4" w:color="000000"/>
              <w:right w:val="single" w:sz="4" w:color="000000"/>
            </w:tcBorders>
          </w:tcPr>
          <w:p>
            <w:r/>
            <w:r>
              <w:t>Kích thước, bên, số lượng, quan hệ với đường chọc hút</w:t>
            </w:r>
          </w:p>
        </w:tc>
        <w:tc>
          <w:tcPr>
            <w:tcW w:type="dxa" w:w="2880"/>
            <w:tcBorders>
              <w:top w:val="single" w:sz="4" w:color="000000"/>
              <w:left w:val="single" w:sz="4" w:color="000000"/>
              <w:bottom w:val="single" w:sz="4" w:color="000000"/>
              <w:right w:val="single" w:sz="4" w:color="000000"/>
            </w:tcBorders>
          </w:tcPr>
          <w:p>
            <w:r/>
            <w:r>
              <w:t>Có ảnh hưởng tiếp cận chọc hút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Tử cung</w:t>
            </w:r>
          </w:p>
        </w:tc>
        <w:tc>
          <w:tcPr>
            <w:tcW w:type="dxa" w:w="2880"/>
            <w:tcBorders>
              <w:top w:val="single" w:sz="4" w:color="000000"/>
              <w:left w:val="single" w:sz="4" w:color="000000"/>
              <w:bottom w:val="single" w:sz="4" w:color="000000"/>
              <w:right w:val="single" w:sz="4" w:color="000000"/>
            </w:tcBorders>
          </w:tcPr>
          <w:p>
            <w:r/>
            <w:r>
              <w:t>Polyp, u xơ dưới niêm, vách ngăn, dịch lòng tử cung</w:t>
            </w:r>
          </w:p>
        </w:tc>
        <w:tc>
          <w:tcPr>
            <w:tcW w:type="dxa" w:w="2880"/>
            <w:tcBorders>
              <w:top w:val="single" w:sz="4" w:color="000000"/>
              <w:left w:val="single" w:sz="4" w:color="000000"/>
              <w:bottom w:val="single" w:sz="4" w:color="000000"/>
              <w:right w:val="single" w:sz="4" w:color="000000"/>
            </w:tcBorders>
          </w:tcPr>
          <w:p>
            <w:r/>
            <w:r>
              <w:t>Nếu có bất thường, cần trì hoãn chuyển phôi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tiếp cận buồng trứng</w:t>
            </w:r>
          </w:p>
        </w:tc>
        <w:tc>
          <w:tcPr>
            <w:tcW w:type="dxa" w:w="2880"/>
            <w:tcBorders>
              <w:top w:val="single" w:sz="4" w:color="000000"/>
              <w:left w:val="single" w:sz="4" w:color="000000"/>
              <w:bottom w:val="single" w:sz="4" w:color="000000"/>
              <w:right w:val="single" w:sz="4" w:color="000000"/>
            </w:tcBorders>
          </w:tcPr>
          <w:p>
            <w:r/>
            <w:r>
              <w:t>Khoảng cách đầu dò — buồng trứng, vật cản (ruột, mạch máu)</w:t>
            </w:r>
          </w:p>
        </w:tc>
        <w:tc>
          <w:tcPr>
            <w:tcW w:type="dxa" w:w="2880"/>
            <w:tcBorders>
              <w:top w:val="single" w:sz="4" w:color="000000"/>
              <w:left w:val="single" w:sz="4" w:color="000000"/>
              <w:bottom w:val="single" w:sz="4" w:color="000000"/>
              <w:right w:val="single" w:sz="4" w:color="000000"/>
            </w:tcBorders>
          </w:tcPr>
          <w:p>
            <w:r/>
            <w:r>
              <w:t>Lập kế hoạch chọc 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Tử cung di động</w:t>
            </w:r>
          </w:p>
        </w:tc>
        <w:tc>
          <w:tcPr>
            <w:tcW w:type="dxa" w:w="2880"/>
            <w:tcBorders>
              <w:top w:val="single" w:sz="4" w:color="000000"/>
              <w:left w:val="single" w:sz="4" w:color="000000"/>
              <w:bottom w:val="single" w:sz="4" w:color="000000"/>
              <w:right w:val="single" w:sz="4" w:color="000000"/>
            </w:tcBorders>
          </w:tcPr>
          <w:p>
            <w:r/>
            <w:r>
              <w:t>Tử cung ngả sau, cố định khi ấn đầu dò</w:t>
            </w:r>
          </w:p>
        </w:tc>
        <w:tc>
          <w:tcPr>
            <w:tcW w:type="dxa" w:w="2880"/>
            <w:tcBorders>
              <w:top w:val="single" w:sz="4" w:color="000000"/>
              <w:left w:val="single" w:sz="4" w:color="000000"/>
              <w:bottom w:val="single" w:sz="4" w:color="000000"/>
              <w:right w:val="single" w:sz="4" w:color="000000"/>
            </w:tcBorders>
          </w:tcPr>
          <w:p>
            <w:r/>
            <w:r>
              <w:t>Gợi ý dính/endometriosis, tiên lượng không tốt</w:t>
            </w:r>
          </w:p>
        </w:tc>
      </w:tr>
    </w:tbl>
    <w:p>
      <w:pPr>
        <w:pStyle w:val="Heading2"/>
      </w:pPr>
      <w:r>
        <w:t>1.2. Xử trí nang tồn dư</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Nang đơn thuần &lt;18 mm, không hoạt động nội tiết</w:t>
            </w:r>
          </w:p>
        </w:tc>
        <w:tc>
          <w:tcPr>
            <w:tcW w:type="dxa" w:w="4320"/>
            <w:tcBorders>
              <w:top w:val="single" w:sz="4" w:color="000000"/>
              <w:left w:val="single" w:sz="4" w:color="000000"/>
              <w:bottom w:val="single" w:sz="4" w:color="000000"/>
              <w:right w:val="single" w:sz="4" w:color="000000"/>
            </w:tcBorders>
          </w:tcPr>
          <w:p>
            <w:r/>
            <w:r>
              <w:t>Có thể bắt đầu KTBT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Nang &gt;18 mm</w:t>
            </w:r>
          </w:p>
        </w:tc>
        <w:tc>
          <w:tcPr>
            <w:tcW w:type="dxa" w:w="4320"/>
            <w:tcBorders>
              <w:top w:val="single" w:sz="4" w:color="000000"/>
              <w:left w:val="single" w:sz="4" w:color="000000"/>
              <w:bottom w:val="single" w:sz="4" w:color="000000"/>
              <w:right w:val="single" w:sz="4" w:color="000000"/>
            </w:tcBorders>
          </w:tcPr>
          <w:p>
            <w:r/>
            <w:r>
              <w:t>Chọc hút hoặc chờ sang chu kỳ tiếp theo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Nang tồn tại nhiều chu kỳ, to</w:t>
            </w:r>
          </w:p>
        </w:tc>
        <w:tc>
          <w:tcPr>
            <w:tcW w:type="dxa" w:w="4320"/>
            <w:tcBorders>
              <w:top w:val="single" w:sz="4" w:color="000000"/>
              <w:left w:val="single" w:sz="4" w:color="000000"/>
              <w:bottom w:val="single" w:sz="4" w:color="000000"/>
              <w:right w:val="single" w:sz="4" w:color="000000"/>
            </w:tcBorders>
          </w:tcPr>
          <w:p>
            <w:r/>
            <w:r>
              <w:t>Cân nhắc chọc hút trước KTBT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Nang không ảnh hưởng chọc hút noãn</w:t>
            </w:r>
          </w:p>
        </w:tc>
        <w:tc>
          <w:tcPr>
            <w:tcW w:type="dxa" w:w="4320"/>
            <w:tcBorders>
              <w:top w:val="single" w:sz="4" w:color="000000"/>
              <w:left w:val="single" w:sz="4" w:color="000000"/>
              <w:bottom w:val="single" w:sz="4" w:color="000000"/>
              <w:right w:val="single" w:sz="4" w:color="000000"/>
            </w:tcBorders>
          </w:tcPr>
          <w:p>
            <w:r/>
            <w:r>
              <w:t>Không nhất thiết can thiệp</w:t>
            </w:r>
          </w:p>
        </w:tc>
      </w:tr>
    </w:tbl>
    <w:p>
      <w:r>
        <w:t>Trong thời gian chờ: có thể dùng viên tránh thai kết hợp (COCP). Lưu ý: ESHRE 2025 không khuyến cáo COCP pretreatment cho antagonist FSH-only (strong, ⊕⊕◯◯), nhưng đây là ngữ cảnh dùng COCP để làm tiêu nang tồn dư, không phải pretreatment cho antagonist.</w:t>
      </w:r>
    </w:p>
    <w:p>
      <w:pPr>
        <w:pStyle w:val="Heading2"/>
      </w:pPr>
      <w:r>
        <w:t>1.3. Đánh giá tử cung baseline</w:t>
      </w:r>
    </w:p>
    <w:p>
      <w:pPr>
        <w:pStyle w:val="ListBullet"/>
      </w:pPr>
      <w:r>
        <w:t>U xơ dưới niêm, polyp, vách ngăn hoặc dịch lòng tử cung có thể làm thay đổi kế hoạch chuyển phôi.</w:t>
      </w:r>
    </w:p>
    <w:p>
      <w:pPr>
        <w:pStyle w:val="ListBullet"/>
      </w:pPr>
      <w:r>
        <w:t>Mục tiêu baseline không chỉ là buồng trứng — còn là xác định fresh transfer có khả thi không.</w:t>
      </w:r>
    </w:p>
    <w:p>
      <w:pPr>
        <w:pStyle w:val="ListBullet"/>
      </w:pPr>
      <w:r>
        <w:t>Nếu phát hiện bất thường có ý nghĩa, có thể kích thích và thu phôi nhưng trì hoãn chuyển phôi (freeze-all).</w:t>
      </w:r>
    </w:p>
    <w:p>
      <w:r>
        <w:rPr>
          <w:b/>
        </w:rPr>
        <w:t>ESHRE 2025:</w:t>
      </w:r>
      <w:r>
        <w:t xml:space="preserve"> tuổi mẹ và BMI là predictors của pregnancy và live birth (strong, ⊕◯◯◯). AFC hoặc AMH đủ để dự đoán ovarian response; FSH nền, E2 nền, LH nền, inhibin B, progesterone nền KHÔNG được khuyến cáo để dự đoán ovarian response (strong, ⊕◯◯◯).</w:t>
      </w:r>
    </w:p>
    <w:p/>
    <w:p>
      <w:pPr>
        <w:pStyle w:val="Heading1"/>
      </w:pPr>
      <w:r>
        <w:t>2. KHUNG SINH LÝ CẦN NHỚ KHI ĐỌC SIÊU ÂM</w:t>
      </w:r>
    </w:p>
    <w:p>
      <w:r>
        <w:t>Để hiểu tại sao theo dõi siêu âm hoạt động theo cách nó hoạt động, cần nhớ ba khái niệm:</w:t>
      </w:r>
    </w:p>
    <w:p>
      <w:pPr>
        <w:pStyle w:val="Heading2"/>
      </w:pPr>
      <w:r>
        <w:t>2.1. FSH threshold (ngưỡng FSH)</w:t>
      </w:r>
    </w:p>
    <w:p>
      <w:r>
        <w:t>Mỗi nang noãn có một nồng độ FSH ngưỡng riêng. Nếu FSH trong máu vượt ngưỡng đó, nang tiếp tục phát triển; nếu không, nang thoái hóa. FSH ngoại sinh nhằm đưa nhiều nang vượt ngưỡng hơn so với chu kỳ tự nhiên.</w:t>
      </w:r>
    </w:p>
    <w:p>
      <w:r>
        <w:rPr>
          <w:b/>
        </w:rPr>
        <w:t>Ý nghĩa trên siêu âm:</w:t>
      </w:r>
      <w:r>
        <w:t xml:space="preserve"> nếu cohort có nhiều nang nhỏ nhưng chỉ một vài nang lớn, có thể do liều FSH chỉ vừa đủ cho nhóm nang nhạy nhất — những nang còn lại đang ở dưới ngưỡng.</w:t>
      </w:r>
    </w:p>
    <w:p>
      <w:pPr>
        <w:pStyle w:val="Heading2"/>
      </w:pPr>
      <w:r>
        <w:t>2.2. FSH window (cửa sổ FSH)</w:t>
      </w:r>
    </w:p>
    <w:p>
      <w:r>
        <w:t>Không chỉ cần vượt ngưỡng, FSH còn phải duy trì trên ngưỡng đủ lâu để nang hoàn thành quá trình phát triển. Cửa sổ FSH là khoảng thời gian nồng độ FSH nằm trên ngưỡng.</w:t>
      </w:r>
    </w:p>
    <w:p>
      <w:r>
        <w:rPr>
          <w:b/>
        </w:rPr>
        <w:t>Ý nghĩa trên siêu âm:</w:t>
      </w:r>
      <w:r>
        <w:t xml:space="preserve"> cửa sổ quá ngắn → mất nang nhỏ; cửa sổ quá dài ở high responder → quá nhiều nang nhỏ phát triển đồng loạt → nguy cơ OHSS.</w:t>
      </w:r>
    </w:p>
    <w:p>
      <w:pPr>
        <w:pStyle w:val="Heading2"/>
      </w:pPr>
      <w:r>
        <w:t>2.3. Follicular waves (sóng nang)</w:t>
      </w:r>
    </w:p>
    <w:p>
      <w:r>
        <w:t>Không phải mọi nang chỉ được tuyển một lần duy nhất vào đầu chu kỳ. Hiện đã có bằng chứng về nhiều đợt sóng tuyển nang trong một chu kỳ. Đây là cơ sở cho DuoStim và random start.</w:t>
      </w:r>
    </w:p>
    <w:p>
      <w:r>
        <w:rPr>
          <w:b/>
        </w:rPr>
        <w:t>Ý nghĩa trên siêu âm:</w:t>
      </w:r>
      <w:r>
        <w:t xml:space="preserve"> có thể bắt đầu KTBT không nhất thiết ngày 2-3 nếu có lý do lâm sàng; nhưng khi dùng random start, thường cần freeze-all do nội mạc không đồng bộ.</w:t>
      </w:r>
    </w:p>
    <w:p>
      <w:pPr>
        <w:pStyle w:val="Heading2"/>
      </w:pPr>
      <w:r>
        <w:t>2.4. LH ceiling / LH floor</w:t>
      </w:r>
    </w:p>
    <w:p>
      <w:pPr>
        <w:pStyle w:val="ListBullet"/>
      </w:pPr>
      <w:r>
        <w:rPr>
          <w:b/>
        </w:rPr>
        <w:t>LH ceiling:</w:t>
      </w:r>
      <w:r>
        <w:t xml:space="preserve"> LH quá cao kéo dài có thể gây hoàng thể hóa sớm hoặc ức chế aromatase, giảm chất lượng noãn.</w:t>
      </w:r>
    </w:p>
    <w:p>
      <w:pPr>
        <w:pStyle w:val="ListBullet"/>
      </w:pPr>
      <w:r>
        <w:rPr>
          <w:b/>
        </w:rPr>
        <w:t>LH floor:</w:t>
      </w:r>
      <w:r>
        <w:t xml:space="preserve"> LH quá thấp (deep suppression từ long agonist) có thể làm giảm sản xuất androgen nền cho tế bào hạt.</w:t>
      </w:r>
    </w:p>
    <w:p>
      <w:r>
        <w:rPr>
          <w:b/>
        </w:rPr>
        <w:t>Ý nghĩa trên siêu âm:</w:t>
      </w:r>
      <w:r>
        <w:t xml:space="preserve"> nếu nang phát triển nhưng E2 không tăng tương xứng, hoặc nang phát triển kém dù FSH đủ, cần đặt câu hỏi về mức LH.</w:t>
      </w:r>
    </w:p>
    <w:p/>
    <w:p>
      <w:pPr>
        <w:pStyle w:val="Heading1"/>
      </w:pPr>
      <w:r>
        <w:t>3. KỸ THUẬT ĐẾM AFC</w:t>
      </w:r>
    </w:p>
    <w:p>
      <w:r>
        <w:t>AFC (Antral Follicle Count) là số nang thứ cấp đường kính 2-9 mm (một số trung tâm dùng 2-10 mm) đếm được vào đầu chu kỳ. Đây là chỉ số thực hành quan trọng nhất để định liều FSH khởi đầu, cùng với AMH.</w:t>
      </w:r>
    </w:p>
    <w:p>
      <w:pPr>
        <w:pStyle w:val="Heading2"/>
      </w:pPr>
      <w:r>
        <w:t>3.1. Kỹ thuật đếm</w:t>
      </w:r>
    </w:p>
    <w:p>
      <w:pPr>
        <w:pStyle w:val="ListNumber"/>
      </w:pPr>
      <w:r>
        <w:t>Dùng đầu dò âm đạo tần số cao (≥7 MHz) nếu có thể.</w:t>
      </w:r>
    </w:p>
    <w:p>
      <w:pPr>
        <w:pStyle w:val="ListNumber"/>
      </w:pPr>
      <w:r>
        <w:t>Quét toàn bộ buồng trứng theo một chiều có hệ thống (từ trong ra ngoài hoặc từ trên xuống dưới).</w:t>
      </w:r>
    </w:p>
    <w:p>
      <w:pPr>
        <w:pStyle w:val="ListNumber"/>
      </w:pPr>
      <w:r>
        <w:t>Đếm từng nang có đường kính 2-9 mm, bờ trong rõ, dịch trống âm.</w:t>
      </w:r>
    </w:p>
    <w:p>
      <w:pPr>
        <w:pStyle w:val="ListNumber"/>
      </w:pPr>
      <w:r>
        <w:t>Ghi riêng AFC buồng trứng phải và trái.</w:t>
      </w:r>
    </w:p>
    <w:p>
      <w:pPr>
        <w:pStyle w:val="ListNumber"/>
      </w:pPr>
      <w:r>
        <w:t>Ghi chú nếu có bất đối xứng rõ, endometrioma, hoặc buồng trứng khó quan sát.</w:t>
      </w:r>
    </w:p>
    <w:p>
      <w:pPr>
        <w:pStyle w:val="Heading2"/>
      </w:pPr>
      <w:r>
        <w:t>3.2. Sai số thường gặp</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Sai số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Bỏ sót nang nhỏ (2-4 mm)</w:t>
            </w:r>
          </w:p>
        </w:tc>
        <w:tc>
          <w:tcPr>
            <w:tcW w:type="dxa" w:w="4320"/>
            <w:tcBorders>
              <w:top w:val="single" w:sz="4" w:color="000000"/>
              <w:left w:val="single" w:sz="4" w:color="000000"/>
              <w:bottom w:val="single" w:sz="4" w:color="000000"/>
              <w:right w:val="single" w:sz="4" w:color="000000"/>
            </w:tcBorders>
          </w:tcPr>
          <w:p>
            <w:r/>
            <w:r>
              <w:t>Quét chậm, tăng gain nhẹ</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Đếm lặp cùng một nang</w:t>
            </w:r>
          </w:p>
        </w:tc>
        <w:tc>
          <w:tcPr>
            <w:tcW w:type="dxa" w:w="4320"/>
            <w:tcBorders>
              <w:top w:val="single" w:sz="4" w:color="000000"/>
              <w:left w:val="single" w:sz="4" w:color="000000"/>
              <w:bottom w:val="single" w:sz="4" w:color="000000"/>
              <w:right w:val="single" w:sz="4" w:color="000000"/>
            </w:tcBorders>
          </w:tcPr>
          <w:p>
            <w:r/>
            <w:r>
              <w:t>Giữ mặt cắt có hệ thống, không xoay đầu dò lung tung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Nhầm mạch máu vùng chậu với nang nhỏ</w:t>
            </w:r>
          </w:p>
        </w:tc>
        <w:tc>
          <w:tcPr>
            <w:tcW w:type="dxa" w:w="4320"/>
            <w:tcBorders>
              <w:top w:val="single" w:sz="4" w:color="000000"/>
              <w:left w:val="single" w:sz="4" w:color="000000"/>
              <w:bottom w:val="single" w:sz="4" w:color="000000"/>
              <w:right w:val="single" w:sz="4" w:color="000000"/>
            </w:tcBorders>
          </w:tcPr>
          <w:p>
            <w:r/>
            <w:r>
              <w:t>Dùng Doppler nếu nghi ngờ</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Nhầm nang tồn dư với nang thứ cấp</w:t>
            </w:r>
          </w:p>
        </w:tc>
        <w:tc>
          <w:tcPr>
            <w:tcW w:type="dxa" w:w="4320"/>
            <w:tcBorders>
              <w:top w:val="single" w:sz="4" w:color="000000"/>
              <w:left w:val="single" w:sz="4" w:color="000000"/>
              <w:bottom w:val="single" w:sz="4" w:color="000000"/>
              <w:right w:val="single" w:sz="4" w:color="000000"/>
            </w:tcBorders>
          </w:tcPr>
          <w:p>
            <w:r/>
            <w:r>
              <w:t>Nang tồn dư thường &gt;10 mm, thành mỏng, có thể có vách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ghi nhận buồng trứng xa đầu dò</w:t>
            </w:r>
          </w:p>
        </w:tc>
        <w:tc>
          <w:tcPr>
            <w:tcW w:type="dxa" w:w="4320"/>
            <w:tcBorders>
              <w:top w:val="single" w:sz="4" w:color="000000"/>
              <w:left w:val="single" w:sz="4" w:color="000000"/>
              <w:bottom w:val="single" w:sz="4" w:color="000000"/>
              <w:right w:val="single" w:sz="4" w:color="000000"/>
            </w:tcBorders>
          </w:tcPr>
          <w:p>
            <w:r/>
            <w:r>
              <w:t>Luôn ghi chú nếu buồng trứng ở vị trí khó tiếp cận</w:t>
            </w:r>
          </w:p>
        </w:tc>
      </w:tr>
    </w:tbl>
    <w:p>
      <w:pPr>
        <w:pStyle w:val="Heading2"/>
      </w:pPr>
      <w:r>
        <w:t>3.3. AFC và định liều FSH</w:t>
      </w:r>
    </w:p>
    <w:p>
      <w:r>
        <w:t>ESHRE 2025 khuyến cáo cá thể hóa liều FSH dựa trên đáp ứng dự kiến (predicted response), dùng AFC hoặc AMH. Khung tham khảo thực hành: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AFC (hai buồng trứng)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Dự kiến đáp 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Liều FSH khởi đầu gợi ý (IU/ngày)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&lt;5</w:t>
            </w:r>
          </w:p>
        </w:tc>
        <w:tc>
          <w:tcPr>
            <w:tcW w:type="dxa" w:w="2880"/>
            <w:tcBorders>
              <w:top w:val="single" w:sz="4" w:color="000000"/>
              <w:left w:val="single" w:sz="4" w:color="000000"/>
              <w:bottom w:val="single" w:sz="4" w:color="000000"/>
              <w:right w:val="single" w:sz="4" w:color="000000"/>
            </w:tcBorders>
          </w:tcPr>
          <w:p>
            <w:r/>
            <w:r>
              <w:t>Low responder</w:t>
            </w:r>
          </w:p>
        </w:tc>
        <w:tc>
          <w:tcPr>
            <w:tcW w:type="dxa" w:w="2880"/>
            <w:tcBorders>
              <w:top w:val="single" w:sz="4" w:color="000000"/>
              <w:left w:val="single" w:sz="4" w:color="000000"/>
              <w:bottom w:val="single" w:sz="4" w:color="000000"/>
              <w:right w:val="single" w:sz="4" w:color="000000"/>
            </w:tcBorders>
          </w:tcPr>
          <w:p>
            <w:r/>
            <w:r>
              <w:t>225-300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5-7</w:t>
            </w:r>
          </w:p>
        </w:tc>
        <w:tc>
          <w:tcPr>
            <w:tcW w:type="dxa" w:w="2880"/>
            <w:tcBorders>
              <w:top w:val="single" w:sz="4" w:color="000000"/>
              <w:left w:val="single" w:sz="4" w:color="000000"/>
              <w:bottom w:val="single" w:sz="4" w:color="000000"/>
              <w:right w:val="single" w:sz="4" w:color="000000"/>
            </w:tcBorders>
          </w:tcPr>
          <w:p>
            <w:r/>
            <w:r>
              <w:t>Suboptimal</w:t>
            </w:r>
          </w:p>
        </w:tc>
        <w:tc>
          <w:tcPr>
            <w:tcW w:type="dxa" w:w="2880"/>
            <w:tcBorders>
              <w:top w:val="single" w:sz="4" w:color="000000"/>
              <w:left w:val="single" w:sz="4" w:color="000000"/>
              <w:bottom w:val="single" w:sz="4" w:color="000000"/>
              <w:right w:val="single" w:sz="4" w:color="000000"/>
            </w:tcBorders>
          </w:tcPr>
          <w:p>
            <w:r/>
            <w:r>
              <w:t>200-300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8-18</w:t>
            </w:r>
          </w:p>
        </w:tc>
        <w:tc>
          <w:tcPr>
            <w:tcW w:type="dxa" w:w="2880"/>
            <w:tcBorders>
              <w:top w:val="single" w:sz="4" w:color="000000"/>
              <w:left w:val="single" w:sz="4" w:color="000000"/>
              <w:bottom w:val="single" w:sz="4" w:color="000000"/>
              <w:right w:val="single" w:sz="4" w:color="000000"/>
            </w:tcBorders>
          </w:tcPr>
          <w:p>
            <w:r/>
            <w:r>
              <w:t>Normal responder</w:t>
            </w:r>
          </w:p>
        </w:tc>
        <w:tc>
          <w:tcPr>
            <w:tcW w:type="dxa" w:w="2880"/>
            <w:tcBorders>
              <w:top w:val="single" w:sz="4" w:color="000000"/>
              <w:left w:val="single" w:sz="4" w:color="000000"/>
              <w:bottom w:val="single" w:sz="4" w:color="000000"/>
              <w:right w:val="single" w:sz="4" w:color="000000"/>
            </w:tcBorders>
          </w:tcPr>
          <w:p>
            <w:r/>
            <w:r>
              <w:t>150-225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&gt;18</w:t>
            </w:r>
          </w:p>
        </w:tc>
        <w:tc>
          <w:tcPr>
            <w:tcW w:type="dxa" w:w="2880"/>
            <w:tcBorders>
              <w:top w:val="single" w:sz="4" w:color="000000"/>
              <w:left w:val="single" w:sz="4" w:color="000000"/>
              <w:bottom w:val="single" w:sz="4" w:color="000000"/>
              <w:right w:val="single" w:sz="4" w:color="000000"/>
            </w:tcBorders>
          </w:tcPr>
          <w:p>
            <w:r/>
            <w:r>
              <w:t>High responder</w:t>
            </w:r>
          </w:p>
        </w:tc>
        <w:tc>
          <w:tcPr>
            <w:tcW w:type="dxa" w:w="2880"/>
            <w:tcBorders>
              <w:top w:val="single" w:sz="4" w:color="000000"/>
              <w:left w:val="single" w:sz="4" w:color="000000"/>
              <w:bottom w:val="single" w:sz="4" w:color="000000"/>
              <w:right w:val="single" w:sz="4" w:color="000000"/>
            </w:tcBorders>
          </w:tcPr>
          <w:p>
            <w:r/>
            <w:r>
              <w:t>100-150</w:t>
            </w:r>
          </w:p>
        </w:tc>
      </w:tr>
    </w:tbl>
    <w:p>
      <w:r>
        <w:t>ESHRE 2025 strong NOT recommended: dùng &gt;300 IU/ngày cho low responder (⊕◯◯◯). Mục tiêu không phải tăng liều vô hạn mà là chiến lược hợp lý: đúng protocol, đúng số chu kỳ, đúng kỳ vọng.</w:t>
      </w:r>
    </w:p>
    <w:p>
      <w:pPr>
        <w:pStyle w:val="Heading2"/>
      </w:pPr>
      <w:r>
        <w:t>3.4. Độ đồng đều của đoàn hệ nang</w:t>
      </w:r>
    </w:p>
    <w:p>
      <w:r>
        <w:t>Ngoài tổng số AFC, cần ghi nhận độ đồng đều của các nang:</w:t>
      </w:r>
    </w:p>
    <w:p>
      <w:pPr>
        <w:pStyle w:val="ListBullet"/>
      </w:pPr>
      <w:r>
        <w:t>Đoàn hệ đồng đều: các nang có kích thước tương tự nhau → tiên lượng phát triển đồng bộ tốt.</w:t>
      </w:r>
    </w:p>
    <w:p>
      <w:pPr>
        <w:pStyle w:val="ListBullet"/>
      </w:pPr>
      <w:r>
        <w:t>Đoàn hệ không đồng đều: nang to nhỏ xen kẽ → nguy cơ lệch pha, khó chọn thời điểm trigger.</w:t>
      </w:r>
    </w:p>
    <w:p/>
    <w:p>
      <w:pPr>
        <w:pStyle w:val="Heading1"/>
      </w:pPr>
      <w:r>
        <w:t>4. THEO DÕI THEO TỪNG LOẠI PHÁC ĐỒ</w:t>
      </w:r>
    </w:p>
    <w:p>
      <w:pPr>
        <w:pStyle w:val="Heading2"/>
      </w:pPr>
      <w:r>
        <w:t>4.1. Phác đồ Long GnRH Agonist</w:t>
      </w:r>
    </w:p>
    <w:p>
      <w:r>
        <w:rPr>
          <w:b/>
        </w:rPr>
        <w:t>Mốc siêu âm 1 — Sau downregulation (ngày ~21 của chu kỳ trước + 10-14 ngày agonist):</w:t>
      </w:r>
    </w:p>
    <w:p>
      <w:pPr>
        <w:pStyle w:val="ListBullet"/>
      </w:pPr>
      <w:r>
        <w:t>Mục tiêu: xác nhận suppression hoàn toàn trước khi bắt đầu FSH.</w:t>
      </w:r>
    </w:p>
    <w:p>
      <w:pPr>
        <w:pStyle w:val="ListBullet"/>
      </w:pPr>
      <w:r>
        <w:t>Tiêu chí: không có nang &gt;10 mm; nội mạc mỏng; lý tưởng kèm xét nghiệm LH &lt;5 IU/L và E2 &lt;50 pg/mL.</w:t>
      </w:r>
    </w:p>
    <w:p>
      <w:pPr>
        <w:pStyle w:val="ListBullet"/>
      </w:pPr>
      <w:r>
        <w:t>Nếu có nang tồn dư: chọc hút hoặc trì hoãn.</w:t>
      </w:r>
    </w:p>
    <w:p>
      <w:r>
        <w:rPr>
          <w:b/>
        </w:rPr>
        <w:t>Mốc siêu âm 2 — Ngày 5-7 dùng FSH:</w:t>
      </w:r>
    </w:p>
    <w:p>
      <w:pPr>
        <w:pStyle w:val="ListBullet"/>
      </w:pPr>
      <w:r>
        <w:t>Đánh giá đáp ứng ban đầu: số nang bắt đầu phát triển, kích thước nang lớn nhất.</w:t>
      </w:r>
    </w:p>
    <w:p>
      <w:pPr>
        <w:pStyle w:val="ListBullet"/>
      </w:pPr>
      <w:r>
        <w:t>Long agonist đã kiểm soát LH surge nên không cần lo LH tăng sớm.</w:t>
      </w:r>
    </w:p>
    <w:p>
      <w:r>
        <w:rPr>
          <w:b/>
        </w:rPr>
        <w:t>Mốc siêu âm 3 — Cuối kích thích (ngày 8-12):</w:t>
      </w:r>
    </w:p>
    <w:p>
      <w:pPr>
        <w:pStyle w:val="ListBullet"/>
      </w:pPr>
      <w:r>
        <w:t>Đo toàn bộ nang, phân nhóm kích thước.</w:t>
      </w:r>
    </w:p>
    <w:p>
      <w:pPr>
        <w:pStyle w:val="ListBullet"/>
      </w:pPr>
      <w:r>
        <w:t>Đo nội mạc.</w:t>
      </w:r>
    </w:p>
    <w:p>
      <w:pPr>
        <w:pStyle w:val="ListBullet"/>
      </w:pPr>
      <w:r>
        <w:t>Đánh giá nguy cơ OHSS (nhiều nang, buồng trứng to).</w:t>
      </w:r>
    </w:p>
    <w:p>
      <w:pPr>
        <w:pStyle w:val="ListBullet"/>
      </w:pPr>
      <w:r>
        <w:t>Quyết định trigger. Trong long agonist, trigger bắt buộc dùng hCG (không dùng được GnRH agonist trigger vì tuyến yên đã bị ức chế).</w:t>
      </w:r>
    </w:p>
    <w:p>
      <w:pPr>
        <w:pStyle w:val="Heading2"/>
      </w:pPr>
      <w:r>
        <w:t>4.2. Phác đồ GnRH Antagonist Fixed</w:t>
      </w:r>
    </w:p>
    <w:p>
      <w:r>
        <w:rPr>
          <w:b/>
        </w:rPr>
        <w:t>Mốc siêu âm 1 — Baseline:</w:t>
      </w:r>
      <w:r>
        <w:t xml:space="preserve"> như mục 1.</w:t>
      </w:r>
    </w:p>
    <w:p>
      <w:r>
        <w:rPr>
          <w:b/>
        </w:rPr>
        <w:t>Mốc siêu âm 2 — Ngày 5-6 dùng FSH:</w:t>
      </w:r>
    </w:p>
    <w:p>
      <w:pPr>
        <w:pStyle w:val="ListBullet"/>
      </w:pPr>
      <w:r>
        <w:t>Đánh giá đáp ứng ban đầu.</w:t>
      </w:r>
    </w:p>
    <w:p>
      <w:pPr>
        <w:pStyle w:val="ListBullet"/>
      </w:pPr>
      <w:r>
        <w:t>Antagonist bắt đầu theo lịch cố định (ngày 5 hoặc 6), không phụ thuộc kích thước nang.</w:t>
      </w:r>
    </w:p>
    <w:p>
      <w:pPr>
        <w:pStyle w:val="ListBullet"/>
      </w:pPr>
      <w:r>
        <w:t>Fixed protocol đơn giản hóa vận hành, giảm nguy cơ quên/muộn antagonist.</w:t>
      </w:r>
    </w:p>
    <w:p>
      <w:r>
        <w:rPr>
          <w:b/>
        </w:rPr>
        <w:t>Mốc siêu âm 3 — Cuối kích thích:</w:t>
      </w:r>
      <w:r>
        <w:t xml:space="preserve"> như long agonist, nhưng có thêm lựa chọn GnRH agonist trigger nếu nguy cơ OHSS.</w:t>
      </w:r>
    </w:p>
    <w:p>
      <w:r>
        <w:t>ESHRE 2025: fixed antagonist probably recommended over flexible (conditional, ⊕⊕◯◯).</w:t>
      </w:r>
    </w:p>
    <w:p>
      <w:pPr>
        <w:pStyle w:val="Heading2"/>
      </w:pPr>
      <w:r>
        <w:t>4.3. Phác đồ GnRH Antagonist Flexible</w:t>
      </w:r>
    </w:p>
    <w:p>
      <w:r>
        <w:rPr>
          <w:b/>
        </w:rPr>
        <w:t>Mốc siêu âm 1 — Baseline:</w:t>
      </w:r>
      <w:r>
        <w:t xml:space="preserve"> như mục 1.</w:t>
      </w:r>
    </w:p>
    <w:p>
      <w:r>
        <w:rPr>
          <w:b/>
        </w:rPr>
        <w:t>Mốc siêu âm 2 — Ngày 5-6 dùng FSH (BẮT BUỘC):</w:t>
      </w:r>
    </w:p>
    <w:p>
      <w:pPr>
        <w:pStyle w:val="ListBullet"/>
      </w:pPr>
      <w:r>
        <w:t>Đây là mốc quan trọng nhất của flexible protocol.</w:t>
      </w:r>
    </w:p>
    <w:p>
      <w:pPr>
        <w:pStyle w:val="ListBullet"/>
      </w:pPr>
      <w:r>
        <w:t>Đo nang lớn nhất. Nếu nang ≥14 mm → bắt đầu antagonist.</w:t>
      </w:r>
    </w:p>
    <w:p>
      <w:pPr>
        <w:pStyle w:val="ListBullet"/>
      </w:pPr>
      <w:r>
        <w:t>Không được siêu âm muộn hơn ngày 7 vì nguy cơ bắt antagonist trễ → LH surge sớm.</w:t>
      </w:r>
    </w:p>
    <w:p>
      <w:r>
        <w:rPr>
          <w:b/>
        </w:rPr>
        <w:t>Mốc siêu âm tiếp theo:</w:t>
      </w:r>
      <w:r>
        <w:t xml:space="preserve"> cách 1-2 ngày tùy tốc độ nang.</w:t>
      </w:r>
    </w:p>
    <w:p>
      <w:r>
        <w:t>Flexible protocol giảm số ngày dùng antagonist ở một số bệnh nhân, nhưng đòi hỏi siêu âm đúng thời điểm. Không phù hợp nếu logistics khó khăn.</w:t>
      </w:r>
    </w:p>
    <w:p>
      <w:pPr>
        <w:pStyle w:val="Heading2"/>
      </w:pPr>
      <w:r>
        <w:t>4.4. PPOS (Progestin-Primed Ovarian Stimulation)</w:t>
      </w:r>
    </w:p>
    <w:p>
      <w:pPr>
        <w:pStyle w:val="ListBullet"/>
      </w:pPr>
      <w:r>
        <w:t>Theo dõi siêu âm tương tự antagonist protocol.</w:t>
      </w:r>
    </w:p>
    <w:p>
      <w:pPr>
        <w:pStyle w:val="ListBullet"/>
      </w:pPr>
      <w:r>
        <w:t>Progesterone ngoại sinh có thể làm nội mạc không đồng bộ — đây là điều mong đợi.</w:t>
      </w:r>
    </w:p>
    <w:p>
      <w:pPr>
        <w:pStyle w:val="ListBullet"/>
      </w:pPr>
      <w:r>
        <w:rPr>
          <w:b/>
        </w:rPr>
        <w:t>Luôn luôn freeze-all trong PPOS</w:t>
      </w:r>
      <w:r>
        <w:t>, không có ngoại lệ cho fresh transfer.</w:t>
      </w:r>
    </w:p>
    <w:p>
      <w:pPr>
        <w:pStyle w:val="Heading2"/>
      </w:pPr>
      <w:r>
        <w:t>4.5. DuoStim / Random Start</w:t>
      </w:r>
    </w:p>
    <w:p>
      <w:pPr>
        <w:pStyle w:val="ListBullet"/>
      </w:pPr>
      <w:r>
        <w:t>Theo dõi siêu âm tương tự antagonist protocol cho mỗi đợt kích thích.</w:t>
      </w:r>
    </w:p>
    <w:p>
      <w:pPr>
        <w:pStyle w:val="ListBullet"/>
      </w:pPr>
      <w:r>
        <w:t>Luteal phase stimulation: progesterone nội sinh có thể tự bảo vệ chống LH surge.</w:t>
      </w:r>
    </w:p>
    <w:p>
      <w:pPr>
        <w:pStyle w:val="ListBullet"/>
      </w:pPr>
      <w:r>
        <w:t>Cả hai chiến lược đều đi kèm freeze-all.</w:t>
      </w:r>
    </w:p>
    <w:p/>
    <w:p>
      <w:pPr>
        <w:pStyle w:val="Heading1"/>
      </w:pPr>
      <w:r>
        <w:t>5. KỸ THUẬT ĐO NANG NOÃN</w:t>
      </w:r>
    </w:p>
    <w:p>
      <w:pPr>
        <w:pStyle w:val="Heading2"/>
      </w:pPr>
      <w:r>
        <w:t>5.1. Nguyên tắc đo</w:t>
      </w:r>
    </w:p>
    <w:p>
      <w:pPr>
        <w:pStyle w:val="ListBullet"/>
      </w:pPr>
      <w:r>
        <w:rPr>
          <w:b/>
        </w:rPr>
        <w:t>Đo từ bờ trong đến bờ trong</w:t>
      </w:r>
      <w:r>
        <w:t xml:space="preserve"> (inner-to-inner). Không đo cả thành nang vì sẽ làm tăng giả kích thước.</w:t>
      </w:r>
    </w:p>
    <w:p>
      <w:pPr>
        <w:pStyle w:val="ListBullet"/>
      </w:pPr>
      <w:r>
        <w:t>Đo trên mặt cắt lớn nhất của nang (mặt cắt đi qua trung tâm nang).</w:t>
      </w:r>
    </w:p>
    <w:p>
      <w:pPr>
        <w:pStyle w:val="ListBullet"/>
      </w:pPr>
      <w:r>
        <w:t>Nang tròn đều: đo một đường kính.</w:t>
      </w:r>
    </w:p>
    <w:p>
      <w:pPr>
        <w:pStyle w:val="ListBullet"/>
      </w:pPr>
      <w:r>
        <w:t>Nang không tròn (bầu dục): đo hai đường kính vuông góc (lớn nhất và nhỏ nhất), lấy trung bình.</w:t>
      </w:r>
    </w:p>
    <w:p>
      <w:pPr>
        <w:pStyle w:val="Heading2"/>
      </w:pPr>
      <w:r>
        <w:t>5.2. Phân nhóm kích thước</w:t>
      </w:r>
    </w:p>
    <w:p>
      <w:r>
        <w:t>Không chỉ ghi "nang lớn nhất 18 mm". Mỗi lần siêu âm cần ghi số nang theo nhóm: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Nhóm kích thước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&lt;10 mm</w:t>
            </w:r>
          </w:p>
        </w:tc>
        <w:tc>
          <w:tcPr>
            <w:tcW w:type="dxa" w:w="4320"/>
            <w:tcBorders>
              <w:top w:val="single" w:sz="4" w:color="000000"/>
              <w:left w:val="single" w:sz="4" w:color="000000"/>
              <w:bottom w:val="single" w:sz="4" w:color="000000"/>
              <w:right w:val="single" w:sz="4" w:color="000000"/>
            </w:tcBorders>
          </w:tcPr>
          <w:p>
            <w:r/>
            <w:r>
              <w:t>Nang nhỏ, đang phát triển, cần thêm thời gian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10-13 mm</w:t>
            </w:r>
          </w:p>
        </w:tc>
        <w:tc>
          <w:tcPr>
            <w:tcW w:type="dxa" w:w="4320"/>
            <w:tcBorders>
              <w:top w:val="single" w:sz="4" w:color="000000"/>
              <w:left w:val="single" w:sz="4" w:color="000000"/>
              <w:bottom w:val="single" w:sz="4" w:color="000000"/>
              <w:right w:val="single" w:sz="4" w:color="000000"/>
            </w:tcBorders>
          </w:tcPr>
          <w:p>
            <w:r/>
            <w:r>
              <w:t>Nang trung bình, sẽ đóng góp vào cohort nếu còn thời gian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14-16 mm</w:t>
            </w:r>
          </w:p>
        </w:tc>
        <w:tc>
          <w:tcPr>
            <w:tcW w:type="dxa" w:w="4320"/>
            <w:tcBorders>
              <w:top w:val="single" w:sz="4" w:color="000000"/>
              <w:left w:val="single" w:sz="4" w:color="000000"/>
              <w:bottom w:val="single" w:sz="4" w:color="000000"/>
              <w:right w:val="single" w:sz="4" w:color="000000"/>
            </w:tcBorders>
          </w:tcPr>
          <w:p>
            <w:r/>
            <w:r>
              <w:t>Nang gần trưởng thành, khả năng cao có noãn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17-18 mm</w:t>
            </w:r>
          </w:p>
        </w:tc>
        <w:tc>
          <w:tcPr>
            <w:tcW w:type="dxa" w:w="4320"/>
            <w:tcBorders>
              <w:top w:val="single" w:sz="4" w:color="000000"/>
              <w:left w:val="single" w:sz="4" w:color="000000"/>
              <w:bottom w:val="single" w:sz="4" w:color="000000"/>
              <w:right w:val="single" w:sz="4" w:color="000000"/>
            </w:tcBorders>
          </w:tcPr>
          <w:p>
            <w:r/>
            <w:r>
              <w:t>Nang trưởng thành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&gt;18 mm (đặc biệt &gt;24 mm)</w:t>
            </w:r>
          </w:p>
        </w:tc>
        <w:tc>
          <w:tcPr>
            <w:tcW w:type="dxa" w:w="4320"/>
            <w:tcBorders>
              <w:top w:val="single" w:sz="4" w:color="000000"/>
              <w:left w:val="single" w:sz="4" w:color="000000"/>
              <w:bottom w:val="single" w:sz="4" w:color="000000"/>
              <w:right w:val="single" w:sz="4" w:color="000000"/>
            </w:tcBorders>
          </w:tcPr>
          <w:p>
            <w:r/>
            <w:r>
              <w:t>Nang quá lớn, nguy cơ noãn già hoặc mất noãn</w:t>
            </w:r>
          </w:p>
        </w:tc>
      </w:tr>
    </w:tbl>
    <w:p>
      <w:pPr>
        <w:pStyle w:val="Heading2"/>
      </w:pPr>
      <w:r>
        <w:t>5.3. Tốc độ phát triển</w:t>
      </w:r>
    </w:p>
    <w:p>
      <w:pPr>
        <w:pStyle w:val="ListBullet"/>
      </w:pPr>
      <w:r>
        <w:t>Trung bình: 1-2 mm/ngày.</w:t>
      </w:r>
    </w:p>
    <w:p>
      <w:pPr>
        <w:pStyle w:val="ListBullet"/>
      </w:pPr>
      <w:r>
        <w:t>Nang có thể phát triển nhanh hơn ở giai đoạn cuối (2-3 mm/ngày).</w:t>
      </w:r>
    </w:p>
    <w:p>
      <w:pPr>
        <w:pStyle w:val="ListBullet"/>
      </w:pPr>
      <w:r>
        <w:t>Nếu cohort phát triển chậm (&lt;1 mm/ngày): xem xét tăng liều (trong giới hạn an toàn) hoặc kiểm tra kỹ thuật tiêm/tuân thủ.</w:t>
      </w:r>
    </w:p>
    <w:p>
      <w:pPr>
        <w:pStyle w:val="ListBullet"/>
      </w:pPr>
      <w:r>
        <w:t>Nếu cohort phát triển nhanh bất thường (&gt;3 mm/ngày): cảnh giác high response, đặc biệt ở PCOS.</w:t>
      </w:r>
    </w:p>
    <w:p>
      <w:pPr>
        <w:pStyle w:val="Heading2"/>
      </w:pPr>
      <w:r>
        <w:t>5.4. Vùng kỳ vọng noãn</w:t>
      </w:r>
    </w:p>
    <w:p>
      <w:r>
        <w:t>Nhiều thực hành xem nhóm nang 14-24 mm là nhóm có khả năng đóng góp noãn tốt nhất. Tuy nhiên:</w:t>
      </w:r>
    </w:p>
    <w:p>
      <w:pPr>
        <w:pStyle w:val="ListBullet"/>
      </w:pPr>
      <w:r>
        <w:t>Không phải mọi nang trong khoảng này đều có noãn trưởng thành.</w:t>
      </w:r>
    </w:p>
    <w:p>
      <w:pPr>
        <w:pStyle w:val="ListBullet"/>
      </w:pPr>
      <w:r>
        <w:t>Nang &lt;14 mm có thể bắt kịp nếu còn 2-3 ngày trước trigger.</w:t>
      </w:r>
    </w:p>
    <w:p>
      <w:pPr>
        <w:pStyle w:val="ListBullet"/>
      </w:pPr>
      <w:r>
        <w:t>Nang &gt;24 mm: nguy cơ noãn thoái hóa hoặc không thu được noãn.</w:t>
      </w:r>
    </w:p>
    <w:p>
      <w:r>
        <w:rPr>
          <w:b/>
        </w:rPr>
        <w:t>Quy tắc ngón tay cái:</w:t>
      </w:r>
      <w:r>
        <w:t xml:space="preserve"> tỷ lệ thu hồi noãn từ nang 14-24 mm khoảng 70-90%, nhưng giảm rõ khi nang &gt;24 mm.</w:t>
      </w:r>
    </w:p>
    <w:p>
      <w:pPr>
        <w:pStyle w:val="Heading2"/>
      </w:pPr>
      <w:r>
        <w:t>5.5. Gò noãn (cumulus oophorus)</w:t>
      </w:r>
    </w:p>
    <w:p>
      <w:r>
        <w:t>Ở một số nang gần trưởng thành, có thể thấy cấu trúc tăng âm nhỏ trong lòng nang — đó là phức hợp cumulus-oocyte (gò noãn). Đây là dấu hiệu nang đã sẵn sàng phóng noãn, giúp củng cố quyết định trigger.</w:t>
      </w:r>
    </w:p>
    <w:p>
      <w:pPr>
        <w:pStyle w:val="Heading2"/>
      </w:pPr>
      <w:r>
        <w:t>5.6. PCOS và sai số đếm</w:t>
      </w:r>
    </w:p>
    <w:p>
      <w:r>
        <w:t>Buồng trứng đa nang (PCOM) có thể có 20-40+ nang nhỏ mỗi bên. Nguy cơ:</w:t>
      </w:r>
    </w:p>
    <w:p>
      <w:pPr>
        <w:pStyle w:val="ListBullet"/>
      </w:pPr>
      <w:r>
        <w:t>Bỏ sót nang nhỏ (2-5 mm).</w:t>
      </w:r>
    </w:p>
    <w:p>
      <w:pPr>
        <w:pStyle w:val="ListBullet"/>
      </w:pPr>
      <w:r>
        <w:t>Đếm lặp do nhiều nang sát nhau.</w:t>
      </w:r>
    </w:p>
    <w:p>
      <w:pPr>
        <w:pStyle w:val="ListBullet"/>
      </w:pPr>
      <w:r>
        <w:t>Khó phân biệt nang đang phát triển giữa "biển" nang nhỏ.</w:t>
      </w:r>
    </w:p>
    <w:p>
      <w:r>
        <w:t>Kỹ thuật:</w:t>
      </w:r>
    </w:p>
    <w:p>
      <w:pPr>
        <w:pStyle w:val="ListBullet"/>
      </w:pPr>
      <w:r>
        <w:t>Quét chậm, chia buồng trứng thành các vùng.</w:t>
      </w:r>
    </w:p>
    <w:p>
      <w:pPr>
        <w:pStyle w:val="ListBullet"/>
      </w:pPr>
      <w:r>
        <w:t>Dùng 3D ultrasound nếu có (tự động đếm và tô màu theo kích thước) — tuy nhiên chi phí cao, không phải cơ sở nào cũng có.</w:t>
      </w:r>
    </w:p>
    <w:p>
      <w:pPr>
        <w:pStyle w:val="ListBullet"/>
      </w:pPr>
      <w:r>
        <w:t>Tập trung vào nang đang phát triển thay vì đếm tất cả nang nhỏ sau ngày 5-6.</w:t>
      </w:r>
    </w:p>
    <w:p/>
    <w:p>
      <w:pPr>
        <w:pStyle w:val="Heading1"/>
      </w:pPr>
      <w:r>
        <w:t>6. NIÊM MẠC TỬ CUNG TRONG CHU KỲ KTBT</w:t>
      </w:r>
    </w:p>
    <w:p>
      <w:pPr>
        <w:pStyle w:val="Heading2"/>
      </w:pPr>
      <w:r>
        <w:t>6.1. Kỹ thuật đo</w:t>
      </w:r>
    </w:p>
    <w:p>
      <w:pPr>
        <w:pStyle w:val="ListBullet"/>
      </w:pPr>
      <w:r>
        <w:t>Mặt cắt dọc tử cung (sagittal).</w:t>
      </w:r>
    </w:p>
    <w:p>
      <w:pPr>
        <w:pStyle w:val="ListBullet"/>
      </w:pPr>
      <w:r>
        <w:t>Đo ở vị trí dày nhất.</w:t>
      </w:r>
    </w:p>
    <w:p>
      <w:pPr>
        <w:pStyle w:val="ListBullet"/>
      </w:pPr>
      <w:r>
        <w:t>Đặt caliper tại ranh giới nội mạc — cơ tử cung (hyperechoic interface).</w:t>
      </w:r>
    </w:p>
    <w:p>
      <w:pPr>
        <w:pStyle w:val="ListBullet"/>
      </w:pPr>
      <w:r>
        <w:t>Đo vuông góc với đường nội mạc.</w:t>
      </w:r>
    </w:p>
    <w:p>
      <w:pPr>
        <w:pStyle w:val="ListBullet"/>
      </w:pPr>
      <w:r>
        <w:t>Không tính dịch lòng tử cung (nếu có).</w:t>
      </w:r>
    </w:p>
    <w:p>
      <w:pPr>
        <w:pStyle w:val="Heading2"/>
      </w:pPr>
      <w:r>
        <w:t>6.2. Hình thái nội mạc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Dạng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Dạng 1 — Ba lá (trilaminar)</w:t>
            </w:r>
          </w:p>
        </w:tc>
        <w:tc>
          <w:tcPr>
            <w:tcW w:type="dxa" w:w="2880"/>
            <w:tcBorders>
              <w:top w:val="single" w:sz="4" w:color="000000"/>
              <w:left w:val="single" w:sz="4" w:color="000000"/>
              <w:bottom w:val="single" w:sz="4" w:color="000000"/>
              <w:right w:val="single" w:sz="4" w:color="000000"/>
            </w:tcBorders>
          </w:tcPr>
          <w:p>
            <w:r/>
            <w:r>
              <w:t>3 đường tăng âm + 2 vùng giảm âm. Hình hạt cà phê.</w:t>
            </w:r>
          </w:p>
        </w:tc>
        <w:tc>
          <w:tcPr>
            <w:tcW w:type="dxa" w:w="2880"/>
            <w:tcBorders>
              <w:top w:val="single" w:sz="4" w:color="000000"/>
              <w:left w:val="single" w:sz="4" w:color="000000"/>
              <w:bottom w:val="single" w:sz="4" w:color="000000"/>
              <w:right w:val="single" w:sz="4" w:color="000000"/>
            </w:tcBorders>
          </w:tcPr>
          <w:p>
            <w:r/>
            <w:r>
              <w:t>Thuận lợi nhất cho làm tổ.</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Dạng 2 — Tăng âm toàn bộ</w:t>
            </w:r>
          </w:p>
        </w:tc>
        <w:tc>
          <w:tcPr>
            <w:tcW w:type="dxa" w:w="2880"/>
            <w:tcBorders>
              <w:top w:val="single" w:sz="4" w:color="000000"/>
              <w:left w:val="single" w:sz="4" w:color="000000"/>
              <w:bottom w:val="single" w:sz="4" w:color="000000"/>
              <w:right w:val="single" w:sz="4" w:color="000000"/>
            </w:tcBorders>
          </w:tcPr>
          <w:p>
            <w:r/>
            <w:r>
              <w:t>Tăng âm đồng nhất, không còn vùng giảm âm.</w:t>
            </w:r>
          </w:p>
        </w:tc>
        <w:tc>
          <w:tcPr>
            <w:tcW w:type="dxa" w:w="2880"/>
            <w:tcBorders>
              <w:top w:val="single" w:sz="4" w:color="000000"/>
              <w:left w:val="single" w:sz="4" w:color="000000"/>
              <w:bottom w:val="single" w:sz="4" w:color="000000"/>
              <w:right w:val="single" w:sz="4" w:color="000000"/>
            </w:tcBorders>
          </w:tcPr>
          <w:p>
            <w:r/>
            <w:r>
              <w:t>Kém thuận lợi hơn, có thể do progesterone tăng sớm.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Dạng 3 — Trung gian</w:t>
            </w:r>
          </w:p>
        </w:tc>
        <w:tc>
          <w:tcPr>
            <w:tcW w:type="dxa" w:w="2880"/>
            <w:tcBorders>
              <w:top w:val="single" w:sz="4" w:color="000000"/>
              <w:left w:val="single" w:sz="4" w:color="000000"/>
              <w:bottom w:val="single" w:sz="4" w:color="000000"/>
              <w:right w:val="single" w:sz="4" w:color="000000"/>
            </w:tcBorders>
          </w:tcPr>
          <w:p>
            <w:r/>
            <w:r>
              <w:t>Còn đường tăng âm nhưng phân lớp không rõ.</w:t>
            </w:r>
          </w:p>
        </w:tc>
        <w:tc>
          <w:tcPr>
            <w:tcW w:type="dxa" w:w="2880"/>
            <w:tcBorders>
              <w:top w:val="single" w:sz="4" w:color="000000"/>
              <w:left w:val="single" w:sz="4" w:color="000000"/>
              <w:bottom w:val="single" w:sz="4" w:color="000000"/>
              <w:right w:val="single" w:sz="4" w:color="000000"/>
            </w:tcBorders>
          </w:tcPr>
          <w:p>
            <w:r/>
            <w:r>
              <w:t>Trung gian giữa dạng 1 và 2.</w:t>
            </w:r>
          </w:p>
        </w:tc>
      </w:tr>
    </w:tbl>
    <w:p>
      <w:r>
        <w:t>Dạng 1 thường thấy ở giai đoạn nang noãn (estrogen cao, progesterone thấp). Chuyển từ dạng 1 sang dạng 2 có thể là dấu hiệu progesterone bắt đầu tăng.</w:t>
      </w:r>
    </w:p>
    <w:p>
      <w:pPr>
        <w:pStyle w:val="Heading2"/>
      </w:pPr>
      <w:r>
        <w:t>6.3. Khi nào nội mạc ảnh hưởng quyết định?</w:t>
      </w:r>
    </w:p>
    <w:p>
      <w:pPr>
        <w:pStyle w:val="ListBullet"/>
      </w:pPr>
      <w:r>
        <w:rPr>
          <w:b/>
        </w:rPr>
        <w:t>Không cần đo nội mạc mỗi lần siêu âm.</w:t>
      </w:r>
      <w:r>
        <w:t xml:space="preserve"> Đo có ý nghĩa nhất vào ngày trigger hoặc 1-2 ngày trước trigger.</w:t>
      </w:r>
    </w:p>
    <w:p>
      <w:pPr>
        <w:pStyle w:val="ListBullet"/>
      </w:pPr>
      <w:r>
        <w:t>Độ dày nội mạc: không có ngưỡng tuyệt đối, nhưng &lt;7 mm thường được xem là mỏng, có thể giảm cơ hội làm tổ.</w:t>
      </w:r>
    </w:p>
    <w:p>
      <w:pPr>
        <w:pStyle w:val="ListBullet"/>
      </w:pPr>
      <w:r>
        <w:t>Hình thái nội mạc: nếu đã chuyển sang dạng 2 + progesterone tăng sớm → cân nhắc freeze-all.</w:t>
      </w:r>
    </w:p>
    <w:p>
      <w:pPr>
        <w:pStyle w:val="ListBullet"/>
      </w:pPr>
      <w:r>
        <w:t>Nếu nội mạc mỏng hoặc hình thái không thuận lợi vào ngày trigger: freeze-all để chuyển phôi ở chu kỳ sau với nội mạc được chuẩn bị tối ưu.</w:t>
      </w:r>
    </w:p>
    <w:p>
      <w:r>
        <w:t>ESHRE 2025 khuyến cáo đo progesterone vào ngày trigger cho fresh ET cycle (conditional). Progesterone tăng sớm (&gt;1.5 ng/mL vào ngày trigger) có thể làm giảm cơ hội làm tổ nếu chuyển phôi tươi.</w:t>
      </w:r>
    </w:p>
    <w:p/>
    <w:p>
      <w:pPr>
        <w:pStyle w:val="Heading1"/>
      </w:pPr>
      <w:r>
        <w:t>7. VAI TRÒ XÉT NGHIỆM NỘI TIẾT TRONG THEO DÕI</w:t>
      </w:r>
    </w:p>
    <w:p>
      <w:pPr>
        <w:pStyle w:val="Heading2"/>
      </w:pPr>
      <w:r>
        <w:t>7.1. Nguyên tắc: hormone chỉ hữu ích khi làm thay đổi quyết định</w:t>
      </w:r>
    </w:p>
    <w:p>
      <w:r>
        <w:t>Siêu âm vẫn là trục chính. Xét nghiệm nội tiết là công cụ bổ sung, không phải thủ tục bắt buộc cho mọi lần khám. Trước khi chỉ định xét nghiệm, hãy tự hỏi: "Kết quả này có thể làm tôi thay đổi kế hoạch hôm nay không?"</w:t>
      </w:r>
    </w:p>
    <w:p>
      <w:pPr>
        <w:pStyle w:val="Heading2"/>
      </w:pPr>
      <w:r>
        <w:t>7.2. E2 (Estradiol)</w:t>
      </w:r>
    </w:p>
    <w:p>
      <w:pPr>
        <w:pStyle w:val="ListBullet"/>
      </w:pPr>
      <w:r>
        <w:rPr>
          <w:b/>
        </w:rPr>
        <w:t>Khi nào hữu ích:</w:t>
      </w:r>
      <w:r>
        <w:t xml:space="preserve"> nghi ngờ high response/OHSS; PCOS cần đánh giá nguy cơ toàn thân; đáp ứng siêu âm không tương xứng với triệu chứng.</w:t>
      </w:r>
    </w:p>
    <w:p>
      <w:pPr>
        <w:pStyle w:val="ListBullet"/>
      </w:pPr>
      <w:r>
        <w:rPr>
          <w:b/>
        </w:rPr>
        <w:t>Khi nào không cần:</w:t>
      </w:r>
      <w:r>
        <w:t xml:space="preserve"> bệnh nhân đáp ứng điển hình, nguy cơ thấp, siêu âm rõ ràng.</w:t>
      </w:r>
    </w:p>
    <w:p>
      <w:pPr>
        <w:pStyle w:val="ListBullet"/>
      </w:pPr>
      <w:r>
        <w:rPr>
          <w:b/>
        </w:rPr>
        <w:t>Lưu ý:</w:t>
      </w:r>
      <w:r>
        <w:t xml:space="preserve"> E2 đơn độc không thay thế được đếm nang. Một bệnh nhân có E2 cao nhưng ít nang trên siêu âm khác với bệnh nhân có E2 trung bình nhưng 25 nang đang phát triển.</w:t>
      </w:r>
    </w:p>
    <w:p>
      <w:pPr>
        <w:pStyle w:val="Heading2"/>
      </w:pPr>
      <w:r>
        <w:t>7.3. LH</w:t>
      </w:r>
    </w:p>
    <w:p>
      <w:pPr>
        <w:pStyle w:val="ListBullet"/>
      </w:pPr>
      <w:r>
        <w:rPr>
          <w:b/>
        </w:rPr>
        <w:t>Khi nào hữu ích:</w:t>
      </w:r>
      <w:r>
        <w:t xml:space="preserve"> nghi ngờ LH surge ở flexible antagonist (nếu quên dùng antagonist, tái khám trễ, hoặc nang lớn nhanh).</w:t>
      </w:r>
    </w:p>
    <w:p>
      <w:pPr>
        <w:pStyle w:val="ListBullet"/>
      </w:pPr>
      <w:r>
        <w:rPr>
          <w:b/>
        </w:rPr>
        <w:t>Khi nào không cần:</w:t>
      </w:r>
      <w:r>
        <w:t xml:space="preserve"> fixed antagonist; bệnh nhân đang dùng antagonist đúng lịch; long agonist đã downregulation tốt.</w:t>
      </w:r>
    </w:p>
    <w:p>
      <w:pPr>
        <w:pStyle w:val="ListBullet"/>
      </w:pPr>
      <w:r>
        <w:t>Y văn ghi nhận định lượng LH thường quy không cải thiện tỷ lệ có thai so với không định lượng.</w:t>
      </w:r>
    </w:p>
    <w:p>
      <w:pPr>
        <w:pStyle w:val="Heading2"/>
      </w:pPr>
      <w:r>
        <w:t>7.4. Progesterone</w:t>
      </w:r>
    </w:p>
    <w:p>
      <w:pPr>
        <w:pStyle w:val="ListBullet"/>
      </w:pPr>
      <w:r>
        <w:rPr>
          <w:b/>
        </w:rPr>
        <w:t>Khi nào hữu ích:</w:t>
      </w:r>
      <w:r>
        <w:t xml:space="preserve"> trước quyết định trigger ở fresh ET cycle (theo ESHRE 2025 conditional rec).</w:t>
      </w:r>
    </w:p>
    <w:p>
      <w:pPr>
        <w:pStyle w:val="ListBullet"/>
      </w:pPr>
      <w:r>
        <w:rPr>
          <w:b/>
        </w:rPr>
        <w:t>Ngưỡng thực hành:</w:t>
      </w:r>
      <w:r>
        <w:t xml:space="preserve"> progesterone &gt;1.5 ng/mL vào ngày trigger gợi ý nội mạc đã bắt đầu lệch pha → cân nhắc freeze-all.</w:t>
      </w:r>
    </w:p>
    <w:p>
      <w:pPr>
        <w:pStyle w:val="ListBullet"/>
      </w:pPr>
      <w:r>
        <w:rPr>
          <w:b/>
        </w:rPr>
        <w:t>Khi nào không cần:</w:t>
      </w:r>
      <w:r>
        <w:t xml:space="preserve"> freeze-all cycle (ví dụ agonist trigger, PPOS, random start) — không có ý nghĩa.</w:t>
      </w:r>
    </w:p>
    <w:p>
      <w:pPr>
        <w:pStyle w:val="Heading2"/>
      </w:pPr>
      <w:r>
        <w:t>7.5. Giảm số lần xét nghiệm và số lần khám</w:t>
      </w:r>
    </w:p>
    <w:p>
      <w:r>
        <w:t>Một số bệnh nhân có thể theo dõi với ít lần siêu âm hơn và không cần xét nghiệm hormone, đặc biệt khi:</w:t>
      </w:r>
    </w:p>
    <w:p>
      <w:pPr>
        <w:pStyle w:val="ListBullet"/>
      </w:pPr>
      <w:r>
        <w:t>Đáp ứng điển hình, nguy cơ thấp.</w:t>
      </w:r>
    </w:p>
    <w:p>
      <w:pPr>
        <w:pStyle w:val="ListBullet"/>
      </w:pPr>
      <w:r>
        <w:t>Dùng fixed antagonist protocol.</w:t>
      </w:r>
    </w:p>
    <w:p>
      <w:pPr>
        <w:pStyle w:val="ListBullet"/>
      </w:pPr>
      <w:r>
        <w:t>Bác sĩ có kinh nghiệm.</w:t>
      </w:r>
    </w:p>
    <w:p>
      <w:r>
        <w:t>Điều này giúp giảm chi phí và thời gian cho bệnh nhân, nhưng không được đánh đổi an toàn (đặc biệt ở high responder và PCOS).</w:t>
      </w:r>
    </w:p>
    <w:p/>
    <w:p>
      <w:pPr>
        <w:pStyle w:val="Heading1"/>
      </w:pPr>
      <w:r>
        <w:t>8. CÁC ĐIỂM QUYẾT ĐỊNH (DECISION POINTS)</w:t>
      </w:r>
    </w:p>
    <w:p>
      <w:pPr>
        <w:pStyle w:val="Heading2"/>
      </w:pPr>
      <w:r>
        <w:t>8.1. Decision 1 — Giữ nguyên hay điều chỉnh liều FSH?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 siêu âm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Cohort đều, tốc độ 1-2 mm/ngày, ngày 5-6 có 5-12 nang phát triển</w:t>
            </w:r>
          </w:p>
        </w:tc>
        <w:tc>
          <w:tcPr>
            <w:tcW w:type="dxa" w:w="4320"/>
            <w:tcBorders>
              <w:top w:val="single" w:sz="4" w:color="000000"/>
              <w:left w:val="single" w:sz="4" w:color="000000"/>
              <w:bottom w:val="single" w:sz="4" w:color="000000"/>
              <w:right w:val="single" w:sz="4" w:color="000000"/>
            </w:tcBorders>
          </w:tcPr>
          <w:p>
            <w:r/>
            <w:r>
              <w:t>Giữ nguyên liều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Cohort chậm, &lt;3 nang &gt;10 mm ngày 7, tốc độ &lt;1 mm/ngày</w:t>
            </w:r>
          </w:p>
        </w:tc>
        <w:tc>
          <w:tcPr>
            <w:tcW w:type="dxa" w:w="4320"/>
            <w:tcBorders>
              <w:top w:val="single" w:sz="4" w:color="000000"/>
              <w:left w:val="single" w:sz="4" w:color="000000"/>
              <w:bottom w:val="single" w:sz="4" w:color="000000"/>
              <w:right w:val="single" w:sz="4" w:color="000000"/>
            </w:tcBorders>
          </w:tcPr>
          <w:p>
            <w:r/>
            <w:r>
              <w:t>Xem xét tăng liều nhẹ (≤75 IU) nếu chưa ở mức tối đa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Cohort quá nhanh, &gt;15 nang &gt;10 mm ngày 6, tốc độ &gt;2.5 mm/ngày</w:t>
            </w:r>
          </w:p>
        </w:tc>
        <w:tc>
          <w:tcPr>
            <w:tcW w:type="dxa" w:w="4320"/>
            <w:tcBorders>
              <w:top w:val="single" w:sz="4" w:color="000000"/>
              <w:left w:val="single" w:sz="4" w:color="000000"/>
              <w:bottom w:val="single" w:sz="4" w:color="000000"/>
              <w:right w:val="single" w:sz="4" w:color="000000"/>
            </w:tcBorders>
          </w:tcPr>
          <w:p>
            <w:r/>
            <w:r>
              <w:t>Cân nhắc giảm liều, cảnh giác OHSS</w:t>
            </w:r>
          </w:p>
        </w:tc>
      </w:tr>
    </w:tbl>
    <w:p>
      <w:r>
        <w:rPr>
          <w:b/>
        </w:rPr>
        <w:t>Lưu ý:</w:t>
      </w:r>
      <w:r>
        <w:t xml:space="preserve"> ESHRE 2025 không khuyến cáo điều chỉnh liều giữa chu kỳ thường quy (conditional). Tuy nhiên trong thực hành, điều chỉnh liều vẫn được thực hiện dựa trên đánh giá lâm sàng, đặc biệt ở hai thái cực đáp ứng.</w:t>
      </w:r>
    </w:p>
    <w:p>
      <w:pPr>
        <w:pStyle w:val="Heading2"/>
      </w:pPr>
      <w:r>
        <w:t>8.2. Decision 2 — Khi nào bắt đầu antagonist?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Protocol</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Fixed</w:t>
            </w:r>
          </w:p>
        </w:tc>
        <w:tc>
          <w:tcPr>
            <w:tcW w:type="dxa" w:w="4320"/>
            <w:tcBorders>
              <w:top w:val="single" w:sz="4" w:color="000000"/>
              <w:left w:val="single" w:sz="4" w:color="000000"/>
              <w:bottom w:val="single" w:sz="4" w:color="000000"/>
              <w:right w:val="single" w:sz="4" w:color="000000"/>
            </w:tcBorders>
          </w:tcPr>
          <w:p>
            <w:r/>
            <w:r>
              <w:t>Ngày 5 hoặc 6 dùng FSH, bất kể kích thước nang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Flexible</w:t>
            </w:r>
          </w:p>
        </w:tc>
        <w:tc>
          <w:tcPr>
            <w:tcW w:type="dxa" w:w="4320"/>
            <w:tcBorders>
              <w:top w:val="single" w:sz="4" w:color="000000"/>
              <w:left w:val="single" w:sz="4" w:color="000000"/>
              <w:bottom w:val="single" w:sz="4" w:color="000000"/>
              <w:right w:val="single" w:sz="4" w:color="000000"/>
            </w:tcBorders>
          </w:tcPr>
          <w:p>
            <w:r/>
            <w:r>
              <w:t>Nang lớn nhất ≥14 mm, và không muộn hơn ngày 7 dùng FSH</w:t>
            </w:r>
          </w:p>
        </w:tc>
      </w:tr>
    </w:tbl>
    <w:p>
      <w:r>
        <w:t>Trong flexible, nếu nang đã 14 mm ở ngày 5, bắt đầu antagonist ngay. Nếu đến ngày 7 mà nang lớn nhất vẫn &lt;14 mm, vẫn bắt đầu antagonist để an toàn (theo nguyên tắc "không muộn hơn ngày 7").</w:t>
      </w:r>
    </w:p>
    <w:p>
      <w:pPr>
        <w:pStyle w:val="Heading2"/>
      </w:pPr>
      <w:r>
        <w:t>8.3. Decision 3 — Khi nào trigger?</w:t>
      </w:r>
    </w:p>
    <w:p>
      <w:r>
        <w:rPr>
          <w:b/>
        </w:rPr>
        <w:t>Tiêu chuẩn thực hành phổ biến:</w:t>
      </w:r>
    </w:p>
    <w:p>
      <w:pPr>
        <w:pStyle w:val="ListBullet"/>
      </w:pPr>
      <w:r>
        <w:t>Ít nhất 3 nang ≥17 mm HOẶC 2 nang ≥18 mm.</w:t>
      </w:r>
    </w:p>
    <w:p>
      <w:pPr>
        <w:pStyle w:val="ListBullet"/>
      </w:pPr>
      <w:r>
        <w:t>Tối thiểu 1/2 tổng số nang có kích thước ≥14 mm.</w:t>
      </w:r>
    </w:p>
    <w:p>
      <w:pPr>
        <w:pStyle w:val="ListBullet"/>
      </w:pPr>
      <w:r>
        <w:t>Thời gian KTBT trung bình 8-12 ngày.</w:t>
      </w:r>
    </w:p>
    <w:p>
      <w:r>
        <w:rPr>
          <w:b/>
        </w:rPr>
        <w:t>Tuy nhiên, trigger là quyết định dựa trên toàn bộ cohort, không chỉ một con số:</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Cần cân nhắc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bố kích thước cohort</w:t>
            </w:r>
          </w:p>
        </w:tc>
        <w:tc>
          <w:tcPr>
            <w:tcW w:type="dxa" w:w="4320"/>
            <w:tcBorders>
              <w:top w:val="single" w:sz="4" w:color="000000"/>
              <w:left w:val="single" w:sz="4" w:color="000000"/>
              <w:bottom w:val="single" w:sz="4" w:color="000000"/>
              <w:right w:val="single" w:sz="4" w:color="000000"/>
            </w:tcBorders>
          </w:tcPr>
          <w:p>
            <w:r/>
            <w:r>
              <w:t>Có nhiều nang 14-16 mm sắp bắt kịp không? Nếu có, có thể đợi thêm 1 ngày.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Nang quá lớn</w:t>
            </w:r>
          </w:p>
        </w:tc>
        <w:tc>
          <w:tcPr>
            <w:tcW w:type="dxa" w:w="4320"/>
            <w:tcBorders>
              <w:top w:val="single" w:sz="4" w:color="000000"/>
              <w:left w:val="single" w:sz="4" w:color="000000"/>
              <w:bottom w:val="single" w:sz="4" w:color="000000"/>
              <w:right w:val="single" w:sz="4" w:color="000000"/>
            </w:tcBorders>
          </w:tcPr>
          <w:p>
            <w:r/>
            <w:r>
              <w:t>Nếu nhiều nang &gt;22-24 mm, không nên trì hoãn chỉ để chờ nhóm nang nhỏ.</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 cơ OHSS</w:t>
            </w:r>
          </w:p>
        </w:tc>
        <w:tc>
          <w:tcPr>
            <w:tcW w:type="dxa" w:w="4320"/>
            <w:tcBorders>
              <w:top w:val="single" w:sz="4" w:color="000000"/>
              <w:left w:val="single" w:sz="4" w:color="000000"/>
              <w:bottom w:val="single" w:sz="4" w:color="000000"/>
              <w:right w:val="single" w:sz="4" w:color="000000"/>
            </w:tcBorders>
          </w:tcPr>
          <w:p>
            <w:r/>
            <w:r>
              <w:t>Nếu nguy cơ cao, nên trigger sớm hơn là muộn hơn.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 hoạch fresh/freeze-all</w:t>
            </w:r>
          </w:p>
        </w:tc>
        <w:tc>
          <w:tcPr>
            <w:tcW w:type="dxa" w:w="4320"/>
            <w:tcBorders>
              <w:top w:val="single" w:sz="4" w:color="000000"/>
              <w:left w:val="single" w:sz="4" w:color="000000"/>
              <w:bottom w:val="single" w:sz="4" w:color="000000"/>
              <w:right w:val="single" w:sz="4" w:color="000000"/>
            </w:tcBorders>
          </w:tcPr>
          <w:p>
            <w:r/>
            <w:r>
              <w:t>Nếu đã dự kiến freeze-all, có thể linh hoạt hơn về thời điểm trigger.</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Progesterone</w:t>
            </w:r>
          </w:p>
        </w:tc>
        <w:tc>
          <w:tcPr>
            <w:tcW w:type="dxa" w:w="4320"/>
            <w:tcBorders>
              <w:top w:val="single" w:sz="4" w:color="000000"/>
              <w:left w:val="single" w:sz="4" w:color="000000"/>
              <w:bottom w:val="single" w:sz="4" w:color="000000"/>
              <w:right w:val="single" w:sz="4" w:color="000000"/>
            </w:tcBorders>
          </w:tcPr>
          <w:p>
            <w:r/>
            <w:r>
              <w:t>Nếu progesterone bắt đầu tăng, không nên trì hoãn trigger để chờ fresh transfer.</w:t>
            </w:r>
          </w:p>
        </w:tc>
      </w:tr>
    </w:tbl>
    <w:p>
      <w:r>
        <w:t>Sau trigger 34-36 giờ: chọc hút noãn qua đường âm đạo.</w:t>
      </w:r>
    </w:p>
    <w:p>
      <w:pPr>
        <w:pStyle w:val="Heading2"/>
      </w:pPr>
      <w:r>
        <w:t>8.4. Decision 4 — Chọn loại trigger nào?</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Trigger khuyến cáo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 cơ OHSS thấp, antagonist hoặc long agonist</w:t>
            </w:r>
          </w:p>
        </w:tc>
        <w:tc>
          <w:tcPr>
            <w:tcW w:type="dxa" w:w="4320"/>
            <w:tcBorders>
              <w:top w:val="single" w:sz="4" w:color="000000"/>
              <w:left w:val="single" w:sz="4" w:color="000000"/>
              <w:bottom w:val="single" w:sz="4" w:color="000000"/>
              <w:right w:val="single" w:sz="4" w:color="000000"/>
            </w:tcBorders>
          </w:tcPr>
          <w:p>
            <w:r/>
            <w:r>
              <w:t>hCG 5.000-10.000 IU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 cơ OHSS cao, antagonist protocol</w:t>
            </w:r>
          </w:p>
        </w:tc>
        <w:tc>
          <w:tcPr>
            <w:tcW w:type="dxa" w:w="4320"/>
            <w:tcBorders>
              <w:top w:val="single" w:sz="4" w:color="000000"/>
              <w:left w:val="single" w:sz="4" w:color="000000"/>
              <w:bottom w:val="single" w:sz="4" w:color="000000"/>
              <w:right w:val="single" w:sz="4" w:color="000000"/>
            </w:tcBorders>
          </w:tcPr>
          <w:p>
            <w:r/>
            <w:r>
              <w:t>GnRH agonist trigger (triptorelin 0.2 mg hoặc leuprolide 1 mg) + freeze-all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Long agonist protocol</w:t>
            </w:r>
          </w:p>
        </w:tc>
        <w:tc>
          <w:tcPr>
            <w:tcW w:type="dxa" w:w="4320"/>
            <w:tcBorders>
              <w:top w:val="single" w:sz="4" w:color="000000"/>
              <w:left w:val="single" w:sz="4" w:color="000000"/>
              <w:bottom w:val="single" w:sz="4" w:color="000000"/>
              <w:right w:val="single" w:sz="4" w:color="000000"/>
            </w:tcBorders>
          </w:tcPr>
          <w:p>
            <w:r/>
            <w:r>
              <w:t>Bắt buộc hCG (không dùng được agonist trigger)</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kém, muốn tối ưu noãn MII</w:t>
            </w:r>
          </w:p>
        </w:tc>
        <w:tc>
          <w:tcPr>
            <w:tcW w:type="dxa" w:w="4320"/>
            <w:tcBorders>
              <w:top w:val="single" w:sz="4" w:color="000000"/>
              <w:left w:val="single" w:sz="4" w:color="000000"/>
              <w:bottom w:val="single" w:sz="4" w:color="000000"/>
              <w:right w:val="single" w:sz="4" w:color="000000"/>
            </w:tcBorders>
          </w:tcPr>
          <w:p>
            <w:r/>
            <w:r>
              <w:t>Dual trigger (GnRHa + hCG) — cân nhắc, không phải routine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low MII rate, empty follicle</w:t>
            </w:r>
          </w:p>
        </w:tc>
        <w:tc>
          <w:tcPr>
            <w:tcW w:type="dxa" w:w="4320"/>
            <w:tcBorders>
              <w:top w:val="single" w:sz="4" w:color="000000"/>
              <w:left w:val="single" w:sz="4" w:color="000000"/>
              <w:bottom w:val="single" w:sz="4" w:color="000000"/>
              <w:right w:val="single" w:sz="4" w:color="000000"/>
            </w:tcBorders>
          </w:tcPr>
          <w:p>
            <w:r/>
            <w:r>
              <w:t>Double trigger (GnRHa → hCG sau ~40h) — chọn lọc</w:t>
            </w:r>
          </w:p>
        </w:tc>
      </w:tr>
    </w:tbl>
    <w:p>
      <w:r>
        <w:rPr>
          <w:b/>
        </w:rPr>
        <w:t>Lưu ý với GnRH agonist trigger:</w:t>
      </w:r>
    </w:p>
    <w:p>
      <w:pPr>
        <w:pStyle w:val="ListBullet"/>
      </w:pPr>
      <w:r>
        <w:t>Chỉ dùng được trong antagonist protocol (tuyến yên chưa bị downregulation).</w:t>
      </w:r>
    </w:p>
    <w:p>
      <w:pPr>
        <w:pStyle w:val="ListBullet"/>
      </w:pPr>
      <w:r>
        <w:t>Khoảng cách từ mũi antagonist cuối đến trigger không dưới 10 giờ.</w:t>
      </w:r>
    </w:p>
    <w:p>
      <w:pPr>
        <w:pStyle w:val="ListBullet"/>
      </w:pPr>
      <w:r>
        <w:t>Luôn đi kèm freeze-all (do suy hoàng thể) trừ khi có protocol LPS đặc biệt.</w:t>
      </w:r>
    </w:p>
    <w:p>
      <w:pPr>
        <w:pStyle w:val="ListBullet"/>
      </w:pPr>
      <w:r>
        <w:t>Vẫn có nguy cơ trigger failure (thu ít noãn hoặc noãn non).</w:t>
      </w:r>
    </w:p>
    <w:p/>
    <w:p>
      <w:pPr>
        <w:pStyle w:val="Heading1"/>
      </w:pPr>
      <w:r>
        <w:t>9. THEO DÕI Ở BỆNH NHÂN PCOS / ĐÁP ỨNG CAO</w:t>
      </w:r>
    </w:p>
    <w:p>
      <w:pPr>
        <w:pStyle w:val="Heading2"/>
      </w:pPr>
      <w:r>
        <w:t>9.1. Đặc điểm siêu âm</w:t>
      </w:r>
    </w:p>
    <w:p>
      <w:pPr>
        <w:pStyle w:val="ListBullet"/>
      </w:pPr>
      <w:r>
        <w:t>AFC cao (&gt;20-24 mỗi bên).</w:t>
      </w:r>
    </w:p>
    <w:p>
      <w:pPr>
        <w:pStyle w:val="ListBullet"/>
      </w:pPr>
      <w:r>
        <w:t>Nhiều nang nhỏ (2-5 mm) tạo hình ảnh "chuỗi hạt" (string of pearls) ở vùng ngoại vi buồng trứng.</w:t>
      </w:r>
    </w:p>
    <w:p>
      <w:pPr>
        <w:pStyle w:val="ListBullet"/>
      </w:pPr>
      <w:r>
        <w:t>Buồng trứng to (thể tích &gt;10 mL mỗi bên).</w:t>
      </w:r>
    </w:p>
    <w:p>
      <w:pPr>
        <w:pStyle w:val="ListBullet"/>
      </w:pPr>
      <w:r>
        <w:t>Khi KTBT: nhiều nang nhỏ phát triển đồng loạt, nguy cơ OHSS cao.</w:t>
      </w:r>
    </w:p>
    <w:p>
      <w:pPr>
        <w:pStyle w:val="Heading2"/>
      </w:pPr>
      <w:r>
        <w:t>9.2. Chiến lược theo dõi</w:t>
      </w:r>
    </w:p>
    <w:p>
      <w:pPr>
        <w:pStyle w:val="ListBullet"/>
      </w:pPr>
      <w:r>
        <w:t>Dùng antagonist protocol.</w:t>
      </w:r>
    </w:p>
    <w:p>
      <w:pPr>
        <w:pStyle w:val="ListBullet"/>
      </w:pPr>
      <w:r>
        <w:t>Liều FSH khởi đầu thấp (100-150 IU/ngày).</w:t>
      </w:r>
    </w:p>
    <w:p>
      <w:pPr>
        <w:pStyle w:val="ListBullet"/>
      </w:pPr>
      <w:r>
        <w:t>Theo dõi siêu âm sát: ngày 5-6, sau đó mỗi 1-2 ngày.</w:t>
      </w:r>
    </w:p>
    <w:p>
      <w:pPr>
        <w:pStyle w:val="ListBullet"/>
      </w:pPr>
      <w:r>
        <w:t>Không nhất thiết theo dõi E2 hàng loạt, nhưng E2 có thể hữu ích để đánh giá nguy cơ OHSS toàn thân.</w:t>
      </w:r>
    </w:p>
    <w:p>
      <w:pPr>
        <w:pStyle w:val="ListBullet"/>
      </w:pPr>
      <w:r>
        <w:t>Đếm nang khó hơn: dễ bỏ sót hoặc đếm lặp. Cần quét có hệ thống.</w:t>
      </w:r>
    </w:p>
    <w:p>
      <w:pPr>
        <w:pStyle w:val="Heading2"/>
      </w:pPr>
      <w:r>
        <w:t>9.3. Phòng OHSS ở high responder</w:t>
      </w:r>
    </w:p>
    <w:p>
      <w:r>
        <w:t>Theo ESHRE 2025 và ASRM 2024 (PMID 38099867):</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Biện pháp</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Mức khuyến cáo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Antagonist protocol (không dùng long agonist)</w:t>
            </w:r>
          </w:p>
        </w:tc>
        <w:tc>
          <w:tcPr>
            <w:tcW w:type="dxa" w:w="4320"/>
            <w:tcBorders>
              <w:top w:val="single" w:sz="4" w:color="000000"/>
              <w:left w:val="single" w:sz="4" w:color="000000"/>
              <w:bottom w:val="single" w:sz="4" w:color="000000"/>
              <w:right w:val="single" w:sz="4" w:color="000000"/>
            </w:tcBorders>
          </w:tcPr>
          <w:p>
            <w:r/>
            <w:r>
              <w:t>Strong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GnRH agonist trigger thay hCG</w:t>
            </w:r>
          </w:p>
        </w:tc>
        <w:tc>
          <w:tcPr>
            <w:tcW w:type="dxa" w:w="4320"/>
            <w:tcBorders>
              <w:top w:val="single" w:sz="4" w:color="000000"/>
              <w:left w:val="single" w:sz="4" w:color="000000"/>
              <w:bottom w:val="single" w:sz="4" w:color="000000"/>
              <w:right w:val="single" w:sz="4" w:color="000000"/>
            </w:tcBorders>
          </w:tcPr>
          <w:p>
            <w:r/>
            <w:r>
              <w:t>GPP / Strong cho high responder</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Freeze-all (không chuyển phôi tươi)</w:t>
            </w:r>
          </w:p>
        </w:tc>
        <w:tc>
          <w:tcPr>
            <w:tcW w:type="dxa" w:w="4320"/>
            <w:tcBorders>
              <w:top w:val="single" w:sz="4" w:color="000000"/>
              <w:left w:val="single" w:sz="4" w:color="000000"/>
              <w:bottom w:val="single" w:sz="4" w:color="000000"/>
              <w:right w:val="single" w:sz="4" w:color="000000"/>
            </w:tcBorders>
          </w:tcPr>
          <w:p>
            <w:r/>
            <w:r>
              <w:t>GPP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Cabergoline 0.5 mg/ngày x 8 ngày từ ngày trigger</w:t>
            </w:r>
          </w:p>
        </w:tc>
        <w:tc>
          <w:tcPr>
            <w:tcW w:type="dxa" w:w="4320"/>
            <w:tcBorders>
              <w:top w:val="single" w:sz="4" w:color="000000"/>
              <w:left w:val="single" w:sz="4" w:color="000000"/>
              <w:bottom w:val="single" w:sz="4" w:color="000000"/>
              <w:right w:val="single" w:sz="4" w:color="000000"/>
            </w:tcBorders>
          </w:tcPr>
          <w:p>
            <w:r/>
            <w:r>
              <w:t>Cochrane evidence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Coasting (ngừng FSH 1-2 ngày trước trigger) nếu E2 quá cao</w:t>
            </w:r>
          </w:p>
        </w:tc>
        <w:tc>
          <w:tcPr>
            <w:tcW w:type="dxa" w:w="4320"/>
            <w:tcBorders>
              <w:top w:val="single" w:sz="4" w:color="000000"/>
              <w:left w:val="single" w:sz="4" w:color="000000"/>
              <w:bottom w:val="single" w:sz="4" w:color="000000"/>
              <w:right w:val="single" w:sz="4" w:color="000000"/>
            </w:tcBorders>
          </w:tcPr>
          <w:p>
            <w:r/>
            <w:r>
              <w:t>Có thể áp dụng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liều hCG (3.000-5.000 IU thay vì 10.000) nếu bắt buộc dùng hCG</w:t>
            </w:r>
          </w:p>
        </w:tc>
        <w:tc>
          <w:tcPr>
            <w:tcW w:type="dxa" w:w="4320"/>
            <w:tcBorders>
              <w:top w:val="single" w:sz="4" w:color="000000"/>
              <w:left w:val="single" w:sz="4" w:color="000000"/>
              <w:bottom w:val="single" w:sz="4" w:color="000000"/>
              <w:right w:val="single" w:sz="4" w:color="000000"/>
            </w:tcBorders>
          </w:tcPr>
          <w:p>
            <w:r/>
            <w:r>
              <w:t>Có thể áp dụng</w:t>
            </w:r>
          </w:p>
        </w:tc>
      </w:tr>
    </w:tbl>
    <w:p/>
    <w:p>
      <w:pPr>
        <w:pStyle w:val="Heading1"/>
      </w:pPr>
      <w:r>
        <w:t>10. THEO DÕI Ở BỆNH NHÂN ĐÁP ỨNG THẤP</w:t>
      </w:r>
    </w:p>
    <w:p>
      <w:pPr>
        <w:pStyle w:val="Heading2"/>
      </w:pPr>
      <w:r>
        <w:t>10.1. Phân biệt trên siêu âm</w:t>
      </w:r>
    </w:p>
    <w:p>
      <w:pPr>
        <w:pStyle w:val="ListBullet"/>
      </w:pPr>
      <w:r>
        <w:t>AFC thấp ở baseline.</w:t>
      </w:r>
    </w:p>
    <w:p>
      <w:pPr>
        <w:pStyle w:val="ListBullet"/>
      </w:pPr>
      <w:r>
        <w:t>Số nang phát triển ít (&lt;4-5 nang), tốc độ có thể chậm.</w:t>
      </w:r>
    </w:p>
    <w:p>
      <w:pPr>
        <w:pStyle w:val="ListBullet"/>
      </w:pPr>
      <w:r>
        <w:t>Buồng trứng nhỏ, khó quan sát.</w:t>
      </w:r>
    </w:p>
    <w:p>
      <w:pPr>
        <w:pStyle w:val="ListBullet"/>
      </w:pPr>
      <w:r>
        <w:t>Cần phân biệt: dự trữ thấp thật sự (AFC &lt;5, AMH thấp) hay hypo-response (AFC bình thường nhưng đáp ứng kém).</w:t>
      </w:r>
    </w:p>
    <w:p>
      <w:pPr>
        <w:pStyle w:val="Heading2"/>
      </w:pPr>
      <w:r>
        <w:t>10.2. Chiến lược theo dõi</w:t>
      </w:r>
    </w:p>
    <w:p>
      <w:pPr>
        <w:pStyle w:val="ListBullet"/>
      </w:pPr>
      <w:r>
        <w:t>Cần siêu âm baseline kỹ: AFC, vị trí buồng trứng (có thể khó chọc hút).</w:t>
      </w:r>
    </w:p>
    <w:p>
      <w:pPr>
        <w:pStyle w:val="ListBullet"/>
      </w:pPr>
      <w:r>
        <w:t>Theo dõi không cần quá dày nếu đáp ứng chậm (mỗi 2-3 ngày).</w:t>
      </w:r>
    </w:p>
    <w:p>
      <w:pPr>
        <w:pStyle w:val="ListBullet"/>
      </w:pPr>
      <w:r>
        <w:t>Mục tiêu: không bỏ lỡ thời điểm trigger (vài nang lớn có thể "già" trong khi chờ nang nhỏ).</w:t>
      </w:r>
    </w:p>
    <w:p>
      <w:pPr>
        <w:pStyle w:val="ListBullet"/>
      </w:pPr>
      <w:r>
        <w:t>Cân nhắc freeze-all và tích lũy phôi qua nhiều chu kỳ (oocyte/embryo accumulation).</w:t>
      </w:r>
    </w:p>
    <w:p>
      <w:pPr>
        <w:pStyle w:val="Heading2"/>
      </w:pPr>
      <w:r>
        <w:t>10.3. Tư vấn</w:t>
      </w:r>
    </w:p>
    <w:p>
      <w:pPr>
        <w:pStyle w:val="ListBullet"/>
      </w:pPr>
      <w:r>
        <w:t>AMH/AFC thấp dự báo ít noãn, nhưng không dự báo trực tiếp live birth nếu tách khỏi tuổi.</w:t>
      </w:r>
    </w:p>
    <w:p>
      <w:pPr>
        <w:pStyle w:val="ListBullet"/>
      </w:pPr>
      <w:r>
        <w:t>Bệnh nhân trẻ với AFC thấp có tiên lượng tốt hơn bệnh nhân lớn tuổi với cùng AFC.</w:t>
      </w:r>
    </w:p>
    <w:p>
      <w:pPr>
        <w:pStyle w:val="ListBullet"/>
      </w:pPr>
      <w:r>
        <w:t>Số noãn mục tiêu không nhất thiết là 15 — ở low responder, 3-5 noãn chất lượng tốt vẫn có giá trị.</w:t>
      </w:r>
    </w:p>
    <w:p/>
    <w:p>
      <w:pPr>
        <w:pStyle w:val="Heading1"/>
      </w:pPr>
      <w:r>
        <w:t>11. NHẬN DIỆN OHSS TRÊN SIÊU ÂM</w:t>
      </w:r>
    </w:p>
    <w:p>
      <w:pPr>
        <w:pStyle w:val="Heading2"/>
      </w:pPr>
      <w:r>
        <w:t>11.1. Dấu hiệu sớm (trước trigger)</w:t>
      </w:r>
    </w:p>
    <w:p>
      <w:pPr>
        <w:pStyle w:val="ListBullet"/>
      </w:pPr>
      <w:r>
        <w:t>Buồng trứng to nhanh (&gt;8 cm mỗi bên).</w:t>
      </w:r>
    </w:p>
    <w:p>
      <w:pPr>
        <w:pStyle w:val="ListBullet"/>
      </w:pPr>
      <w:r>
        <w:t>&gt;20 nang đang phát triển, nhiều nang kích thước trung bình (10-16 mm).</w:t>
      </w:r>
    </w:p>
    <w:p>
      <w:pPr>
        <w:pStyle w:val="ListBullet"/>
      </w:pPr>
      <w:r>
        <w:t>Dịch tự do túi cùng Douglas (dịch ít, mức độ nhẹ).</w:t>
      </w:r>
    </w:p>
    <w:p>
      <w:pPr>
        <w:pStyle w:val="Heading2"/>
      </w:pPr>
      <w:r>
        <w:t>11.2. Dấu hiệu rõ (sau trigger 3-7 ngày)</w:t>
      </w:r>
    </w:p>
    <w:p>
      <w:pPr>
        <w:pStyle w:val="ListBullet"/>
      </w:pPr>
      <w:r>
        <w:t>Buồng trứng rất to (&gt;10-12 cm), nhiều nang hoàng thể hóa.</w:t>
      </w:r>
    </w:p>
    <w:p>
      <w:pPr>
        <w:pStyle w:val="ListBullet"/>
      </w:pPr>
      <w:r>
        <w:t>Dịch tự do ổ bụng lượng nhiều (ascites).</w:t>
      </w:r>
    </w:p>
    <w:p>
      <w:pPr>
        <w:pStyle w:val="ListBullet"/>
      </w:pPr>
      <w:r>
        <w:t>Có thể có dịch màng phổi (pleural effusion).</w:t>
      </w:r>
    </w:p>
    <w:p>
      <w:pPr>
        <w:pStyle w:val="ListBullet"/>
      </w:pPr>
      <w:r>
        <w:t>Dịch quanh buồng trứng.</w:t>
      </w:r>
    </w:p>
    <w:p>
      <w:pPr>
        <w:pStyle w:val="Heading2"/>
      </w:pPr>
      <w:r>
        <w:t>11.3. Phân loại nhanh trên siêu âm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Buồng trứng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Dịch tự do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Nhẹ</w:t>
            </w:r>
          </w:p>
        </w:tc>
        <w:tc>
          <w:tcPr>
            <w:tcW w:type="dxa" w:w="2880"/>
            <w:tcBorders>
              <w:top w:val="single" w:sz="4" w:color="000000"/>
              <w:left w:val="single" w:sz="4" w:color="000000"/>
              <w:bottom w:val="single" w:sz="4" w:color="000000"/>
              <w:right w:val="single" w:sz="4" w:color="000000"/>
            </w:tcBorders>
          </w:tcPr>
          <w:p>
            <w:r/>
            <w:r>
              <w:t>&lt;8 cm</w:t>
            </w:r>
          </w:p>
        </w:tc>
        <w:tc>
          <w:tcPr>
            <w:tcW w:type="dxa" w:w="2880"/>
            <w:tcBorders>
              <w:top w:val="single" w:sz="4" w:color="000000"/>
              <w:left w:val="single" w:sz="4" w:color="000000"/>
              <w:bottom w:val="single" w:sz="4" w:color="000000"/>
              <w:right w:val="single" w:sz="4" w:color="000000"/>
            </w:tcBorders>
          </w:tcPr>
          <w:p>
            <w:r/>
            <w:r>
              <w:t>Ít hoặc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Trung bình</w:t>
            </w:r>
          </w:p>
        </w:tc>
        <w:tc>
          <w:tcPr>
            <w:tcW w:type="dxa" w:w="2880"/>
            <w:tcBorders>
              <w:top w:val="single" w:sz="4" w:color="000000"/>
              <w:left w:val="single" w:sz="4" w:color="000000"/>
              <w:bottom w:val="single" w:sz="4" w:color="000000"/>
              <w:right w:val="single" w:sz="4" w:color="000000"/>
            </w:tcBorders>
          </w:tcPr>
          <w:p>
            <w:r/>
            <w:r>
              <w:t>8-12 cm</w:t>
            </w:r>
          </w:p>
        </w:tc>
        <w:tc>
          <w:tcPr>
            <w:tcW w:type="dxa" w:w="2880"/>
            <w:tcBorders>
              <w:top w:val="single" w:sz="4" w:color="000000"/>
              <w:left w:val="single" w:sz="4" w:color="000000"/>
              <w:bottom w:val="single" w:sz="4" w:color="000000"/>
              <w:right w:val="single" w:sz="4" w:color="000000"/>
            </w:tcBorders>
          </w:tcPr>
          <w:p>
            <w:r/>
            <w:r>
              <w:t>Ascites vừa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Nặng</w:t>
            </w:r>
          </w:p>
        </w:tc>
        <w:tc>
          <w:tcPr>
            <w:tcW w:type="dxa" w:w="2880"/>
            <w:tcBorders>
              <w:top w:val="single" w:sz="4" w:color="000000"/>
              <w:left w:val="single" w:sz="4" w:color="000000"/>
              <w:bottom w:val="single" w:sz="4" w:color="000000"/>
              <w:right w:val="single" w:sz="4" w:color="000000"/>
            </w:tcBorders>
          </w:tcPr>
          <w:p>
            <w:r/>
            <w:r>
              <w:t>&gt;12 cm</w:t>
            </w:r>
          </w:p>
        </w:tc>
        <w:tc>
          <w:tcPr>
            <w:tcW w:type="dxa" w:w="2880"/>
            <w:tcBorders>
              <w:top w:val="single" w:sz="4" w:color="000000"/>
              <w:left w:val="single" w:sz="4" w:color="000000"/>
              <w:bottom w:val="single" w:sz="4" w:color="000000"/>
              <w:right w:val="single" w:sz="4" w:color="000000"/>
            </w:tcBorders>
          </w:tcPr>
          <w:p>
            <w:r/>
            <w:r>
              <w:t>Ascites căng, có thể tràn dịch màng phổi</w:t>
            </w:r>
          </w:p>
        </w:tc>
      </w:tr>
    </w:tbl>
    <w:p>
      <w:r>
        <w:t>(Xem bài OHSS Comprehensive để có phân loại đầy đủ Golan, RCOG và ASRM 2024.)</w:t>
      </w:r>
    </w:p>
    <w:p/>
    <w:p>
      <w:pPr>
        <w:pStyle w:val="Heading1"/>
      </w:pPr>
      <w:r>
        <w:t>12. QUYẾT ĐỊNH FREEZE-ALL DỰA TRÊN SIÊU ÂM</w:t>
      </w:r>
    </w:p>
    <w:p>
      <w:r>
        <w:t>Freeze-all là chiến lược cá thể hóa, không phải mặc định cho mọi bệnh nhân. Siêu âm đóng vai trò trung tâm trong quyết định này.</w:t>
      </w:r>
    </w:p>
    <w:p>
      <w:pPr>
        <w:pStyle w:val="Heading2"/>
      </w:pPr>
      <w:r>
        <w:t>12.1. Ra quyết định freeze-all dựa trên siêu âm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 siêu âm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&gt;20 nang đang phát triển, buồng trứng &gt;8 cm, nguy cơ OHSS cao</w:t>
            </w:r>
          </w:p>
        </w:tc>
        <w:tc>
          <w:tcPr>
            <w:tcW w:type="dxa" w:w="4320"/>
            <w:tcBorders>
              <w:top w:val="single" w:sz="4" w:color="000000"/>
              <w:left w:val="single" w:sz="4" w:color="000000"/>
              <w:bottom w:val="single" w:sz="4" w:color="000000"/>
              <w:right w:val="single" w:sz="4" w:color="000000"/>
            </w:tcBorders>
          </w:tcPr>
          <w:p>
            <w:r/>
            <w:r>
              <w:t>Freeze-all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Niêm mạc &lt;7 mm hoặc dạng 2 vào ngày trigger</w:t>
            </w:r>
          </w:p>
        </w:tc>
        <w:tc>
          <w:tcPr>
            <w:tcW w:type="dxa" w:w="4320"/>
            <w:tcBorders>
              <w:top w:val="single" w:sz="4" w:color="000000"/>
              <w:left w:val="single" w:sz="4" w:color="000000"/>
              <w:bottom w:val="single" w:sz="4" w:color="000000"/>
              <w:right w:val="single" w:sz="4" w:color="000000"/>
            </w:tcBorders>
          </w:tcPr>
          <w:p>
            <w:r/>
            <w:r>
              <w:t>Cân nhắc freeze-all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Phát hiện polyp, u xơ dưới niêm, dịch lòng tử cung mới xuất hiện</w:t>
            </w:r>
          </w:p>
        </w:tc>
        <w:tc>
          <w:tcPr>
            <w:tcW w:type="dxa" w:w="4320"/>
            <w:tcBorders>
              <w:top w:val="single" w:sz="4" w:color="000000"/>
              <w:left w:val="single" w:sz="4" w:color="000000"/>
              <w:bottom w:val="single" w:sz="4" w:color="000000"/>
              <w:right w:val="single" w:sz="4" w:color="000000"/>
            </w:tcBorders>
          </w:tcPr>
          <w:p>
            <w:r/>
            <w:r>
              <w:t>Freeze-all, giải quyết trước chuyển phôi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Đã dùng GnRH agonist trigger</w:t>
            </w:r>
          </w:p>
        </w:tc>
        <w:tc>
          <w:tcPr>
            <w:tcW w:type="dxa" w:w="4320"/>
            <w:tcBorders>
              <w:top w:val="single" w:sz="4" w:color="000000"/>
              <w:left w:val="single" w:sz="4" w:color="000000"/>
              <w:bottom w:val="single" w:sz="4" w:color="000000"/>
              <w:right w:val="single" w:sz="4" w:color="000000"/>
            </w:tcBorders>
          </w:tcPr>
          <w:p>
            <w:r/>
            <w:r>
              <w:t>Freeze-all (trừ khi có LPS đặc biệt)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PPOS / Random start</w:t>
            </w:r>
          </w:p>
        </w:tc>
        <w:tc>
          <w:tcPr>
            <w:tcW w:type="dxa" w:w="4320"/>
            <w:tcBorders>
              <w:top w:val="single" w:sz="4" w:color="000000"/>
              <w:left w:val="single" w:sz="4" w:color="000000"/>
              <w:bottom w:val="single" w:sz="4" w:color="000000"/>
              <w:right w:val="single" w:sz="4" w:color="000000"/>
            </w:tcBorders>
          </w:tcPr>
          <w:p>
            <w:r/>
            <w:r>
              <w:t>Freeze-all bắt buộc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Progesterone &gt;1.5 ng/mL ngày trigger kèm nội mạc dạng 2</w:t>
            </w:r>
          </w:p>
        </w:tc>
        <w:tc>
          <w:tcPr>
            <w:tcW w:type="dxa" w:w="4320"/>
            <w:tcBorders>
              <w:top w:val="single" w:sz="4" w:color="000000"/>
              <w:left w:val="single" w:sz="4" w:color="000000"/>
              <w:bottom w:val="single" w:sz="4" w:color="000000"/>
              <w:right w:val="single" w:sz="4" w:color="000000"/>
            </w:tcBorders>
          </w:tcPr>
          <w:p>
            <w:r/>
            <w:r>
              <w:t>Freeze-all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điển hình, nội mạc ba lá, không nguy cơ OHSS</w:t>
            </w:r>
          </w:p>
        </w:tc>
        <w:tc>
          <w:tcPr>
            <w:tcW w:type="dxa" w:w="4320"/>
            <w:tcBorders>
              <w:top w:val="single" w:sz="4" w:color="000000"/>
              <w:left w:val="single" w:sz="4" w:color="000000"/>
              <w:bottom w:val="single" w:sz="4" w:color="000000"/>
              <w:right w:val="single" w:sz="4" w:color="000000"/>
            </w:tcBorders>
          </w:tcPr>
          <w:p>
            <w:r/>
            <w:r>
              <w:t>Có thể fresh transfer</w:t>
            </w:r>
          </w:p>
        </w:tc>
      </w:tr>
    </w:tbl>
    <w:p>
      <w:pPr>
        <w:pStyle w:val="Heading2"/>
      </w:pPr>
      <w:r>
        <w:t>12.2. Tư vấn bệnh nhân</w:t>
      </w:r>
    </w:p>
    <w:p>
      <w:pPr>
        <w:pStyle w:val="ListBullet"/>
      </w:pPr>
      <w:r>
        <w:t>Freeze-all không có nghĩa là chu kỳ thất bại. Noãn và phôi vẫn được bảo quản an toàn.</w:t>
      </w:r>
    </w:p>
    <w:p>
      <w:pPr>
        <w:pStyle w:val="ListBullet"/>
      </w:pPr>
      <w:r>
        <w:t>Vitrification cho tỷ lệ sống sau rã đông &gt;95% ở hầu hết trung tâm tốt.</w:t>
      </w:r>
    </w:p>
    <w:p>
      <w:pPr>
        <w:pStyle w:val="ListBullet"/>
      </w:pPr>
      <w:r>
        <w:t>Chuyển phôi chu kỳ sau với nội mạc được chuẩn bị có thể cho tỷ lệ làm tổ tương đương hoặc tốt hơn fresh transfer trong một số bối cảnh.</w:t>
      </w:r>
    </w:p>
    <w:p/>
    <w:p>
      <w:pPr>
        <w:pStyle w:val="Heading1"/>
      </w:pPr>
      <w:r>
        <w:t>13. MẪU PHIẾU SIÊU ÂM VÀ CHECKLIST</w:t>
      </w:r>
    </w:p>
    <w:p>
      <w:pPr>
        <w:pStyle w:val="Heading2"/>
      </w:pPr>
      <w:r>
        <w:t>13.1. Mẫu phiếu siêu âm monitor KTBT</w:t>
      </w:r>
    </w:p>
    <w:p>
      <w:r>
        <w:rPr>
          <w:rFonts w:ascii="Consolas" w:hAnsi="Consolas"/>
          <w:sz w:val="18"/>
        </w:rPr>
        <w:t>SIÊU ÂM THEO DÕI KTBT — IVF CYCLE</w:t>
        <w:br/>
        <w:t>Ngày: ____/____/____    Ngày dùng FSH: ____</w:t>
        <w:br/>
        <w:t>Phác đồ: [ ] Long agonist  [ ] Antagonist fixed  [ ] Antagonist flexible  [ ] PPOS  [ ] Khác</w:t>
        <w:br/>
        <w:t>Liều FSH hiện tại: ____ IU/ngày</w:t>
        <w:br/>
        <w:br/>
        <w:t>BUỒNG TRỨNG PHẢI:</w:t>
        <w:br/>
        <w:t>- Số nang &lt;10 mm: ____</w:t>
        <w:br/>
        <w:t>- Số nang 10-13 mm: ____</w:t>
        <w:br/>
        <w:t>- Số nang 14-16 mm: ____</w:t>
        <w:br/>
        <w:t>- Số nang 17-18 mm: ____</w:t>
        <w:br/>
        <w:t>- Số nang &gt;18 mm: ____</w:t>
        <w:br/>
        <w:t>- Nang lớn nhất: ____ mm</w:t>
        <w:br/>
        <w:t>- Ghi chú (endometrioma, cyst, vị trí khó tiếp cận):</w:t>
        <w:br/>
        <w:br/>
        <w:t>BUỒNG TRỨNG TRÁI:</w:t>
        <w:br/>
        <w:t>- Số nang &lt;10 mm: ____</w:t>
        <w:br/>
        <w:t>- Số nang 10-13 mm: ____</w:t>
        <w:br/>
        <w:t>- Số nang 14-16 mm: ____</w:t>
        <w:br/>
        <w:t>- Số nang 17-18 mm: ____</w:t>
        <w:br/>
        <w:t>- Số nang &gt;18 mm: ____</w:t>
        <w:br/>
        <w:t>- Nang lớn nhất: ____ mm</w:t>
        <w:br/>
        <w:t>- Ghi chú:</w:t>
        <w:br/>
        <w:br/>
        <w:t>NIÊM MẠC TỬ CUNG:</w:t>
        <w:br/>
        <w:t>- Độ dày: ____ mm</w:t>
        <w:br/>
        <w:t>- Hình thái: [ ] Ba lá  [ ] Tăng âm toàn bộ  [ ] Trung gian</w:t>
        <w:br/>
        <w:t>- Dịch lòng tử cung: [ ] Không  [ ] Có</w:t>
        <w:br/>
        <w:br/>
        <w:t>KHÁC:</w:t>
        <w:br/>
        <w:t>- Dịch tự do túi cùng Douglas: [ ] Không  [ ] Ít  [ ] Vừa  [ ] Nhiều</w:t>
        <w:br/>
        <w:t>- Buồng trứng khó tiếp cận: [ ] Không  [ ] Có (ghi rõ):</w:t>
        <w:br/>
        <w:t>- Dấu hiệu OHSS: [ ] Không  [ ] Có (ghi rõ):</w:t>
        <w:br/>
        <w:br/>
        <w:t>KẾT LUẬN VÀ KẾ HOẠCH:</w:t>
        <w:br/>
        <w:t>- Tiếp tục liều hiện tại [ ] / Đổi liều [ ]: ____ IU/ngày</w:t>
        <w:br/>
        <w:t>- Bắt đầu antagonist [ ] / Tiếp tục [ ]</w:t>
        <w:br/>
        <w:t>- Hẹn siêu âm lại: ____/____/____</w:t>
        <w:br/>
        <w:t>- Dự kiến trigger: ____/____/____</w:t>
        <w:br/>
        <w:t>- Dự kiến fresh transfer [ ] / Freeze-all [ ]</w:t>
        <w:br/>
        <w:t>- Ghi chú khác:</w:t>
      </w:r>
    </w:p>
    <w:p>
      <w:pPr>
        <w:pStyle w:val="Heading2"/>
      </w:pPr>
      <w:r>
        <w:t>13.2. Checklist trước khi rời phòng siêu âm</w:t>
      </w:r>
    </w:p>
    <w:p>
      <w:r>
        <w:t>Mỗi lần siêu âm, trước khi bệnh nhân rời phòng, cần chắc chắn đã trả lời các câu hỏi:</w:t>
      </w:r>
    </w:p>
    <w:p>
      <w:pPr>
        <w:pStyle w:val="ListBullet"/>
      </w:pPr>
      <w:r>
        <w:t>[ ] Hôm nay là ngày thứ mấy dùng FSH?</w:t>
      </w:r>
    </w:p>
    <w:p>
      <w:pPr>
        <w:pStyle w:val="ListBullet"/>
      </w:pPr>
      <w:r>
        <w:t>[ ] Tốc độ tăng trưởng nang có phù hợp không? (so với lần trước)</w:t>
      </w:r>
    </w:p>
    <w:p>
      <w:pPr>
        <w:pStyle w:val="ListBullet"/>
      </w:pPr>
      <w:r>
        <w:t>[ ] Đã đến lúc bắt đầu antagonist chưa? (với flexible protocol)</w:t>
      </w:r>
    </w:p>
    <w:p>
      <w:pPr>
        <w:pStyle w:val="ListBullet"/>
      </w:pPr>
      <w:r>
        <w:t>[ ] Có dấu hiệu OHSS không?</w:t>
      </w:r>
    </w:p>
    <w:p>
      <w:pPr>
        <w:pStyle w:val="ListBullet"/>
      </w:pPr>
      <w:r>
        <w:t>[ ] Có dấu hiệu LH surge không? (progesterone tăng, nội mạc thay đổi sớm)</w:t>
      </w:r>
    </w:p>
    <w:p>
      <w:pPr>
        <w:pStyle w:val="ListBullet"/>
      </w:pPr>
      <w:r>
        <w:t>[ ] Liều FSH có cần thay đổi không?</w:t>
      </w:r>
    </w:p>
    <w:p>
      <w:pPr>
        <w:pStyle w:val="ListBullet"/>
      </w:pPr>
      <w:r>
        <w:t>[ ] Ngày hẹn tiếp theo là khi nào?</w:t>
      </w:r>
    </w:p>
    <w:p>
      <w:pPr>
        <w:pStyle w:val="ListBullet"/>
      </w:pPr>
      <w:r>
        <w:t>[ ] Bệnh nhân có hiểu kế hoạch không?</w:t>
      </w:r>
    </w:p>
    <w:p/>
    <w:p>
      <w:pPr>
        <w:pStyle w:val="Heading1"/>
      </w:pPr>
      <w:r>
        <w:t>14. ATLAS QUYẾT ĐỊNH NHANH</w:t>
      </w:r>
    </w:p>
    <w:p>
      <w:pPr>
        <w:pStyle w:val="Heading2"/>
      </w:pPr>
      <w:r>
        <w:t>Ca 1: AFC thấp, đáp ứng chậm</w:t>
      </w:r>
    </w:p>
    <w:p>
      <w:r>
        <w:t>Bệnh nhân 39 tuổi, AFC = 4, AMH = 0.6 ng/mL. Ngày 7 dùng FSH 300 IU, siêu âm có 2 nang 11-12 mm và 1 nang 9 mm.</w:t>
      </w:r>
    </w:p>
    <w:p>
      <w:r>
        <w:t>→ Không tăng liều thêm. Tiếp tục 300 IU. Siêu âm lại sau 2 ngày. Tư vấn kỳ vọng: có thể chỉ thu 2-3 noãn. Nếu kết quả kém, bàn về oocyte accumulation hoặc noãn hiến.</w:t>
      </w:r>
    </w:p>
    <w:p>
      <w:pPr>
        <w:pStyle w:val="Heading2"/>
      </w:pPr>
      <w:r>
        <w:t>Ca 2: PCOS, đáp ứng mạnh</w:t>
      </w:r>
    </w:p>
    <w:p>
      <w:r>
        <w:t>Bệnh nhân 28 tuổi, PCOS, AFC &gt;30 mỗi bên. FSH 125 IU/ngày, antagonist fixed. Ngày 6 siêu âm: &gt;20 nang 6-10 mm mỗi bên.</w:t>
      </w:r>
    </w:p>
    <w:p>
      <w:r>
        <w:t>→ Tiếp tục liều thấp. Theo dõi sát mỗi 1-2 ngày. Lên kế hoạch GnRH agonist trigger + freeze-all. Giải thích với bệnh nhân: an toàn là ưu tiên số một, không chuyển phôi tươi.</w:t>
      </w:r>
    </w:p>
    <w:p>
      <w:pPr>
        <w:pStyle w:val="Heading2"/>
      </w:pPr>
      <w:r>
        <w:t>Ca 3: Flexible antagonist, nang 14 mm</w:t>
      </w:r>
    </w:p>
    <w:p>
      <w:r>
        <w:t>Bệnh nhân 33 tuổi, antagonist flexible. Ngày 6 dùng FSH, nang lớn nhất 14.5 mm, có 5 nang 12-13 mm.</w:t>
      </w:r>
    </w:p>
    <w:p>
      <w:r>
        <w:t>→ Bắt đầu antagonist ngay hôm nay. Tiếp tục FSH liều hiện tại. Siêu âm lại sau 2 ngày.</w:t>
      </w:r>
    </w:p>
    <w:p>
      <w:pPr>
        <w:pStyle w:val="Heading2"/>
      </w:pPr>
      <w:r>
        <w:t>Ca 4: Nang lệch pha</w:t>
      </w:r>
    </w:p>
    <w:p>
      <w:r>
        <w:t>Bệnh nhân 35 tuổi. Ngày 9 dùng FSH: 2 nang 22-23 mm, 5 nang 13-14 mm, 4 nang 10-11 mm.</w:t>
      </w:r>
    </w:p>
    <w:p>
      <w:r>
        <w:t>→ Khó. Hai nang lớn đã sẵn sàng, nhưng hầu hết cohort còn nhỏ. Cần cân nhắc: trigger bây giờ để cứu nhóm 13-14 mm và chấp nhận mất nhóm 10-11 mm, hoặc trigger ngày mai để thêm 1 ngày cho nhóm 10-11 mm nhưng nhóm lớn sẽ &gt;24 mm. Nếu progesterone còn thấp, có thể đợi 1 ngày. Nếu progesterone đã tăng, trigger ngay.</w:t>
      </w:r>
    </w:p>
    <w:p>
      <w:pPr>
        <w:pStyle w:val="Heading2"/>
      </w:pPr>
      <w:r>
        <w:t>Ca 5: Progesterone tăng ngày trigger</w:t>
      </w:r>
    </w:p>
    <w:p>
      <w:r>
        <w:t>Bệnh nhân 31 tuổi, đáp ứng tốt. Ngày trigger: 12 nang 16-20 mm, nội mạc 10 mm dạng 2, progesterone 2.1 ng/mL.</w:t>
      </w:r>
    </w:p>
    <w:p>
      <w:r>
        <w:t>→ Đã có dấu hiệu lệch pha nội mạc (dạng 2 + P4 cao). Mặc dù nang đẹp, khả năng fresh transfer thành công giảm. Tư vấn freeze-all. Trigger bình thường, chọc hút, đông phôi toàn bộ, chuyển phôi chu kỳ sau.</w:t>
      </w:r>
    </w:p>
    <w:p>
      <w:pPr>
        <w:pStyle w:val="Heading2"/>
      </w:pPr>
      <w:r>
        <w:t>Ca 6: Buồng trứng khó tiếp cận</w:t>
      </w:r>
    </w:p>
    <w:p>
      <w:r>
        <w:t>Bệnh nhân 34 tuổi, tiền sử mổ bóc endometrioma buồng trứng trái. Siêu âm: buồng trứng trái nằm sau tử cung, cách đầu dò ~4 cm, có quai ruột xen giữa.</w:t>
      </w:r>
    </w:p>
    <w:p>
      <w:r>
        <w:t>→ Ghi rõ trong phiếu siêu âm: vị trí, khoảng cách, vật cản. Báo trước ekip chọc hút. Có thể cần ấn bụng hoặc thay đổi tư thế bệnh nhân khi chọc hút. Không có chỉ định hủy chu kỳ chỉ vì access khó.</w:t>
      </w:r>
    </w:p>
    <w:p>
      <w:pPr>
        <w:pStyle w:val="Heading2"/>
      </w:pPr>
      <w:r>
        <w:t>Ca 7: Nang tồn dư baseline</w:t>
      </w:r>
    </w:p>
    <w:p>
      <w:r>
        <w:t>Bệnh nhân 29 tuổi. Baseline: AFC = 12, có một nang đơn thuần 22 mm ở buồng trứng phải.</w:t>
      </w:r>
    </w:p>
    <w:p>
      <w:r>
        <w:t>→ E2 và progesterone: nếu E2 không tăng và progesterone thấp → nang không hoạt động. Có thể bắt đầu KTBT. Nếu E2 tăng → nang hoạt động → chọc hút hoặc dùng COCP 7-10 ngày để nang thoái triển, sau đó baseline lại. Nếu có chỉ định gấp (bảo tồn sinh sản): chọc hút nang rồi bắt đầu FSH.</w:t>
      </w:r>
    </w:p>
    <w:p>
      <w:pPr>
        <w:pStyle w:val="Heading2"/>
      </w:pPr>
      <w:r>
        <w:t>Ca 8: Nghi ngờ trigger failure sau GnRHa</w:t>
      </w:r>
    </w:p>
    <w:p>
      <w:r>
        <w:t>Bệnh nhân antagonist cycle, GnRHa trigger (triptorelin 0.2 mg). Sau trigger 12 giờ: LH &lt;15 IU/L (xét nghiệm nếu có), bệnh nhân không có triệu chứng gì đặc biệt.</w:t>
      </w:r>
    </w:p>
    <w:p>
      <w:r>
        <w:t>→ Nguy cơ trigger failure. Nếu nghi ngờ, đo LH sau trigger 8-12 giờ. Nếu LH không tăng rõ, có thể "rescue" bằng hCG 5.000-10.000 IU. Sau đó chọc hút theo lịch hCG (34-36 giờ sau mũi rescue).</w:t>
      </w:r>
    </w:p>
    <w:p/>
    <w:p>
      <w:pPr>
        <w:pStyle w:val="Heading1"/>
      </w:pPr>
      <w:r>
        <w:t>15. CLINICAL PEARLS</w:t>
      </w:r>
    </w:p>
    <w:p>
      <w:pPr>
        <w:pStyle w:val="ListNumber"/>
      </w:pPr>
      <w:r>
        <w:rPr>
          <w:b/>
        </w:rPr>
        <w:t>AFC không phải là một cuộc thi đếm.</w:t>
      </w:r>
      <w:r>
        <w:t xml:space="preserve"> Độ đồng đều của đoàn hệ nang và ghi nhận buồng trứng khó tiếp cận quan trọng không kém con số AFC.</w:t>
      </w:r>
    </w:p>
    <w:p>
      <w:pPr>
        <w:pStyle w:val="ListNumber"/>
      </w:pPr>
      <w:r>
        <w:rPr>
          <w:b/>
        </w:rPr>
        <w:t>Ngày 5-7 là mốc quan trọng nhất.</w:t>
      </w:r>
      <w:r>
        <w:t xml:space="preserve"> Đây là lúc đánh giá đáp ứng ban đầu: tốc độ cohort, phân bố kích thước, và trong flexible protocol — quyết định antagonist.</w:t>
      </w:r>
    </w:p>
    <w:p>
      <w:pPr>
        <w:pStyle w:val="ListNumber"/>
      </w:pPr>
      <w:r>
        <w:rPr>
          <w:b/>
        </w:rPr>
        <w:t>Không trì hoãn trigger chỉ để chờ vài nang nhỏ.</w:t>
      </w:r>
      <w:r>
        <w:t xml:space="preserve"> Nếu progesterone bắt đầu tăng hoặc nhóm nang lớn đã &gt;22-24 mm, trigger ngay. Mất 2 noãn non còn hơn hỏng cả chu kỳ.</w:t>
      </w:r>
    </w:p>
    <w:p>
      <w:pPr>
        <w:pStyle w:val="ListNumber"/>
      </w:pPr>
      <w:r>
        <w:rPr>
          <w:b/>
        </w:rPr>
        <w:t>PCOS: đoán trước OHSS, đừng đợi thấy dịch mới lo.</w:t>
      </w:r>
      <w:r>
        <w:t xml:space="preserve"> Nếu &gt;20 nang đang phát triển và buồng trứng tăng kích thước nhanh, lên kế hoạch GnRHa trigger + freeze-all từ trước, không đợi đến ngày trigger mới quyết định.</w:t>
      </w:r>
    </w:p>
    <w:p>
      <w:pPr>
        <w:pStyle w:val="ListNumber"/>
      </w:pPr>
      <w:r>
        <w:rPr>
          <w:b/>
        </w:rPr>
        <w:t>Nội mạc chỉ cần đo có ý nghĩa khi gần trigger.</w:t>
      </w:r>
      <w:r>
        <w:t xml:space="preserve"> Đo mỗi lần siêu âm không cần thiết và có thể gây lo lắng không cần thiết cho bệnh nhân.</w:t>
      </w:r>
    </w:p>
    <w:p>
      <w:pPr>
        <w:pStyle w:val="ListNumber"/>
      </w:pPr>
      <w:r>
        <w:rPr>
          <w:b/>
        </w:rPr>
        <w:t>Fixed antagonist dễ vận hành hơn flexible.</w:t>
      </w:r>
      <w:r>
        <w:t xml:space="preserve"> Nếu trung tâm đông, bệnh nhân khó tái khám đúng hẹn, hoặc bác sĩ siêu âm ít kinh nghiệm — chọn fixed.</w:t>
      </w:r>
    </w:p>
    <w:p>
      <w:pPr>
        <w:pStyle w:val="ListNumber"/>
      </w:pPr>
      <w:r>
        <w:rPr>
          <w:b/>
        </w:rPr>
        <w:t>Buồng trứng khó chọc hút: ghi ngay từ baseline, cập nhật mỗi lần siêu âm.</w:t>
      </w:r>
      <w:r>
        <w:t xml:space="preserve"> Đừng để đến ngày chọc hút mới phát hiện.</w:t>
      </w:r>
    </w:p>
    <w:p>
      <w:pPr>
        <w:pStyle w:val="ListNumber"/>
      </w:pPr>
      <w:r>
        <w:rPr>
          <w:b/>
        </w:rPr>
        <w:t>Progesterone là "đèn vàng" cho fresh transfer.</w:t>
      </w:r>
      <w:r>
        <w:t xml:space="preserve"> Nếu P4 &gt;1.5 ng/mL ngày trigger, freeze-all thường là lựa chọn an toàn hơn.</w:t>
      </w:r>
    </w:p>
    <w:p>
      <w:pPr>
        <w:pStyle w:val="ListNumber"/>
      </w:pPr>
      <w:r>
        <w:rPr>
          <w:b/>
        </w:rPr>
        <w:t>Số noãn mục tiêu không phải "càng nhiều càng tốt".</w:t>
      </w:r>
      <w:r>
        <w:t xml:space="preserve"> 15 noãn là vùng tối ưu. Dưới 15 — chấp nhận được nếu chất lượng tốt. Trên 20 — nguy cơ OHSS tăng mà live birth không tăng thêm (PMID 21558332).</w:t>
      </w:r>
    </w:p>
    <w:p>
      <w:pPr>
        <w:pStyle w:val="ListNumber"/>
      </w:pPr>
      <w:r>
        <w:rPr>
          <w:b/>
        </w:rPr>
        <w:t>Kết thúc mỗi lần siêu âm bằng một kế hoạch rõ ràng.</w:t>
      </w:r>
      <w:r>
        <w:t xml:space="preserve"> Bệnh nhân cần biết: liều thuốc, ngày hẹn tiếp theo, và dự kiến bước tiếp theo là gì (tiếp tục, đổi liều, antagonist, trigger, freeze-all).</w:t>
      </w:r>
    </w:p>
    <w:p/>
    <w:p>
      <w:pPr>
        <w:pStyle w:val="Heading1"/>
      </w:pPr>
      <w:r>
        <w:t>16. TÀI LIỆU THAM KHẢO</w:t>
      </w:r>
    </w:p>
    <w:p>
      <w:pPr>
        <w:pStyle w:val="ListNumber"/>
      </w:pPr>
      <w:r>
        <w:t>ESHRE guideline: ovarian stimulation for IVF/ICSI: an update in 2025. PMID: 41732035. [GUIDELINE VERIFIED]</w:t>
      </w:r>
    </w:p>
    <w:p>
      <w:pPr>
        <w:pStyle w:val="ListNumber"/>
      </w:pPr>
      <w:r>
        <w:t>ESHRE guideline: ovarian stimulation for IVF/ICSI. PMID: 32395637. [GUIDELINE VERIFIED]</w:t>
      </w:r>
    </w:p>
    <w:p>
      <w:pPr>
        <w:pStyle w:val="ListNumber"/>
      </w:pPr>
      <w:r>
        <w:t>Testing and interpreting measures of ovarian reserve: a committee opinion. PMID: 33280722. [ABSTRACT VERIFIED]</w:t>
      </w:r>
    </w:p>
    <w:p>
      <w:pPr>
        <w:pStyle w:val="ListNumber"/>
      </w:pPr>
      <w:r>
        <w:t>Association between the number of eggs and live birth in IVF treatment. PMID: 21558332. [ABSTRACT VERIFIED]</w:t>
      </w:r>
    </w:p>
    <w:p>
      <w:pPr>
        <w:pStyle w:val="ListNumber"/>
      </w:pPr>
      <w:r>
        <w:t>Consensus statement on prevention and detection of ovarian hyperstimulation syndrome. PMID: 26597569. [ABSTRACT VERIFIED]</w:t>
      </w:r>
    </w:p>
    <w:p>
      <w:pPr>
        <w:pStyle w:val="ListNumber"/>
      </w:pPr>
      <w:r>
        <w:t>Prevention and treatment of moderate and severe ovarian hyperstimulation syndrome. ASRM guideline. PMID: 38099867. [DIRECTION ONLY]</w:t>
      </w:r>
    </w:p>
    <w:p>
      <w:pPr>
        <w:pStyle w:val="ListNumber"/>
      </w:pPr>
      <w:r>
        <w:t>Gonadotropin-releasing hormone agonist versus HCG for oocyte triggering in antagonist-assisted reproductive technology cycles. PMID: 21450755. [FETCHED]</w:t>
      </w:r>
    </w:p>
    <w:p>
      <w:pPr>
        <w:pStyle w:val="ListNumber"/>
      </w:pPr>
      <w:r>
        <w:t>Ovarian hyperstimulation syndrome: review and new classification criteria. HERA Delphi consensus. PMID: 39603489. [DIRECTION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