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IM-16 — Xuất huyết tiêu hóa cấp: Hồi sức 0–60 phút</w:t>
      </w:r>
    </w:p>
    <w:p>
      <w:r>
        <w:t>Bai hoc y khoa - IM-16_RESEARCH_BRIEF</w:t>
      </w:r>
    </w:p>
    <w:p>
      <w:pPr>
        <w:pStyle w:val="Title"/>
      </w:pPr>
      <w:r>
        <w:t>RESEARCH BRIEF: IM-16 — Xuất huyết tiêu hóa cấp: Hồi sức 0–60 phút</w:t>
      </w:r>
    </w:p>
    <w:p>
      <w:r>
        <w:rPr>
          <w:b/>
        </w:rPr>
        <w:t>Ngày:</w:t>
      </w:r>
      <w:r>
        <w:t xml:space="preserve"> 2026-07-19 | </w:t>
      </w:r>
      <w:r>
        <w:rPr>
          <w:b/>
        </w:rPr>
        <w:t>Model research:</w:t>
      </w:r>
      <w:r>
        <w:t xml:space="preserve"> DeepSeek (ocg) | </w:t>
      </w:r>
      <w:r>
        <w:rPr>
          <w:b/>
        </w:rPr>
        <w:t>Model execute:</w:t>
      </w:r>
      <w:r>
        <w:t xml:space="preserve"> DeepSeek (ocg)</w:t>
      </w:r>
    </w:p>
    <w:p/>
    <w:p>
      <w:pPr>
        <w:pStyle w:val="Heading1"/>
      </w:pPr>
      <w:r>
        <w:t>1. Papers đã chọn (kèm lý do chọn)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đề (rút gọn)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Tại sao chọn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ESGE 2021: Endoscopic diagnosis and management of NVUGIH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Tier 0 guideline chính</w:t>
            </w:r>
            <w:r>
              <w:t xml:space="preserve"> — khuyến cáo GBS, restrictive transfusion, PPI, erythromycin, nội soi &lt;24h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ACG 2021: Upper Gastrointestinal and Ulcer Bleeding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Tier 0 guideline chính</w:t>
            </w:r>
            <w:r>
              <w:t xml:space="preserve"> — bổ sung ESGE, GRADE approach, GBS 0-1 = outpatient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Consensus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Baveno VII 2022: Portal hypertension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Tier 0 variceal bleeding</w:t>
            </w:r>
            <w:r>
              <w:t xml:space="preserve"> — vasoactive drugs, KS dự phòng, restrictive transfusion, nội soi &lt;12h. Đã verify trong IM-40, tái sử dụng claims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32563378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HALT-IT 2020: TXA in GI bleeding (Lancet, n=12.009)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Landmark RCT</w:t>
            </w:r>
            <w:r>
              <w:t xml:space="preserve"> — TXA KHÔNG giảm tử vong, TĂNG VTE → KHÔNG dùng TXA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23281973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TRIGGER 2013: Restrictive vs liberal transfusion (NEJM, n=921)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Landmark RCT</w:t>
            </w:r>
            <w:r>
              <w:t xml:space="preserve"> — restrictive (Hb&lt;7) giảm tử vong (HR 0.55), giảm tái XH (10% vs 16%)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28397699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2017: Restrictive vs liberal transfusion in GI bleeding (n=1965)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Meta-analysis xương sống</w:t>
            </w:r>
            <w:r>
              <w:t xml:space="preserve"> — restrictive: ↓ mortality RR 0.65, ↓ rebleeding RR 0.58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30508958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Terlipressin for acute variceal bleeding (n=3344, 30 RCTs)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Meta-analysis chính cho terlipressin</w:t>
            </w:r>
            <w:r>
              <w:t xml:space="preserve"> — cải thiện kiểm soát chảy máu 48h (OR 2.94), ↓ tử vong nội viện (OR 0.31)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33723542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Vasoactive Agents: T-V vs O-S for AVB (21 RCTs)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So sánh terlipressin vs octreotide/somatostatin</w:t>
            </w:r>
            <w:r>
              <w:t xml:space="preserve"> — tử vong tương đương (RR 1.01), T-V nhiều AE hơn (RR 2.39)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34661508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Risk scores in predicting outcomes in AVB (28 studies)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Phân tầng nguy cơ AVB</w:t>
            </w:r>
            <w:r>
              <w:t xml:space="preserve"> — CTP AUC 0.824 (tốt nhất cho tử vong nội viện), AIMS65 specificity 0.774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27640399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Systematic Review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Pre-endoscopic risk scores for UGIB in ED (16 studies)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GBS validation</w:t>
            </w:r>
            <w:r>
              <w:t xml:space="preserve"> — GBS sensitivity 0.98, specificity 0.16 ở cutoff 0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40611560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NMA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Pre-endoscopy erythromycin vs metoclopramide for UGIB (16 studies, n=1447)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Erythromycin evidence</w:t>
            </w:r>
            <w:r>
              <w:t xml:space="preserve"> — cải thiện visualization (SMD 0.58), adequate visualization (RR 1.55)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32024301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Diagnosis and Management of Non-Variceal GI Hemorrhage (2020)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Tổng quan non-variceal</w:t>
            </w:r>
            <w:r>
              <w:t xml:space="preserve"> — current guidelines and future perspectives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30313117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5-day vasoactive drug after endoscopic hemostasis for AVB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Duration of vasoactive</w:t>
            </w:r>
            <w:r>
              <w:t xml:space="preserve"> — adjuvant 5-day giảm very early rebleeding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31921329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WSES 2020: Perforated and bleeding peptic ulcer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Bổ sung ngoại khoa</w:t>
            </w:r>
            <w:r>
              <w:t xml:space="preserve"> — PUD complications management</w:t>
            </w:r>
          </w:p>
        </w:tc>
      </w:tr>
    </w:tbl>
    <w:p>
      <w:r>
        <w:rPr>
          <w:b/>
        </w:rPr>
        <w:t>Đã loại:</w:t>
      </w:r>
    </w:p>
    <w:p>
      <w:pPr>
        <w:pStyle w:val="ListBullet"/>
      </w:pPr>
      <w:r>
        <w:t>PMID 33512469 (plan ghi sai — là paper về TB biobank, không phải ESGE 2021). ESGE 2021 đúng = PMID 33567467.</w:t>
      </w:r>
    </w:p>
    <w:p>
      <w:pPr>
        <w:pStyle w:val="ListBullet"/>
      </w:pPr>
      <w:r>
        <w:t>PMID 31501175 (plan ghi sai — là case report Sertoli-Leydig tumor, không phải BSG 2019). BSG 2019 chỉ có guideline LOWER GI bleeding (PMID 30792244); BSG không có guideline riêng cho upper GI — UK dùng NICE CG141.</w:t>
      </w:r>
    </w:p>
    <w:p>
      <w:pPr>
        <w:pStyle w:val="ListBullet"/>
      </w:pPr>
      <w:r>
        <w:t>PMID 29862492 (Cochrane 2018: UGIB prevention in ICU) — là stress ulcer prophylaxis, không phải XHTH cấp điều trị, không dùng.</w:t>
      </w:r>
    </w:p>
    <w:p>
      <w:r>
        <w:rPr>
          <w:b/>
        </w:rPr>
        <w:t>Tier 0 web guidelines bổ sung:</w:t>
      </w:r>
    </w:p>
    <w:p>
      <w:pPr>
        <w:pStyle w:val="ListBullet"/>
      </w:pPr>
      <w:r>
        <w:t>NICE CG141 (2012, reviewed 2018): Acute upper GI bleeding management. Comprehensive UK guideline, 2018 surveillance: no new evidence → vẫn current.</w:t>
      </w:r>
    </w:p>
    <w:p>
      <w:pPr>
        <w:pStyle w:val="ListBullet"/>
      </w:pPr>
      <w:r>
        <w:t>Không có BSG guideline riêng cho upper GI bleeding; BSG chỉ có lower GI (PMID 30792244).</w:t>
      </w:r>
    </w:p>
    <w:p/>
    <w:p>
      <w:pPr>
        <w:pStyle w:val="Heading1"/>
      </w:pPr>
      <w:r>
        <w:t>2. Claims đã verify — chỉ viết claim CÓ trong abstract</w:t>
      </w:r>
    </w:p>
    <w:p>
      <w:pPr>
        <w:pStyle w:val="Heading2"/>
      </w:pPr>
      <w:r>
        <w:t>2.1 Restrictive vs Liberal Transfusion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Restrictive transfusion → giảm all-cause mortality: RR 0.65 (95% CI 0.44–0.97, p=0.03)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28397699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Restrictive transfusion → giảm rebleeding: RR 0.58 (95% CI 0.40–0.84, p=0.004)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28397699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Số RBC units thấp hơn ở restrictive: mean difference −1.73 units (95% CI −2.36 to −1.11, p&lt;0.0001)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28397699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Restrictive (Hb&lt;7): survival at 6 weeks 95% vs liberal (Hb&lt;9) 91%; HR for death 0.55 (95% CI 0.33–0.92, P=0.02)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23281973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Restrictive: 51% không cần truyền máu vs liberal: 14% (P&lt;0.001)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23281973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Further bleeding: restrictive 10% vs liberal 16% (P=0.01)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23281973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Adverse events: restrictive 40% vs liberal 48% (P=0.02)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23281973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</w:tbl>
    <w:p>
      <w:pPr>
        <w:pStyle w:val="Heading2"/>
      </w:pPr>
      <w:r>
        <w:t>2.2 ESGE 2021 Guideline Claims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GBS ≤1: very low risk, safe for outpatient management with outpatient endoscopy (Strong recommendation, moderate evidence)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Low-dose aspirin monotherapy for secondary CV prophylaxis: should NOT be interrupted. If interrupted, restart within 3–5 days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PPI liều cao IV trước nội soi (khuyến cáo cho tất cả BN nghi XHTH trên)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Erythromycin IV trước nội soi cải thiện chất lượng hình ảnh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soi &lt;24h cho BN nguy cơ cao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</w:tbl>
    <w:p>
      <w:pPr>
        <w:pStyle w:val="Heading2"/>
      </w:pPr>
      <w:r>
        <w:t>2.3 ACG 2021 Guideline Claims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GBS 0–1: very-low-risk, có thể xuất viện với outpatient follow-up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RBC transfusion threshold: Hb 7 g/dL (suggested)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Erythromycin infusion suggested before endoscopy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Endoscopy suggested within 24 hours after presentation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Endoscopic therapy recommended for ulcers with active spurting/oozing and nonbleeding visible vessels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</w:tbl>
    <w:p>
      <w:pPr>
        <w:pStyle w:val="Heading2"/>
      </w:pPr>
      <w:r>
        <w:t>2.4 HALT-IT Trial (TXA)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n=12.009 (TXA 5.994 vs placebo 6.015), 164 hospitals, 15 countries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32563378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Death due to bleeding within 5 days: TXA 4% (222/5956) vs placebo 4% (226/5981); RR 0.99 (95% CI 0.82–1.18)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32563378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VTE (DVT or PE) higher in TXA group: 0.7% vs 0.4% — increased risk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32563378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[DIRECTION ONLY]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Interpretation: "TXA did not reduce death from GI bleeding... should not be used for treatment of GI bleeding outside randomized trial"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32563378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</w:tbl>
    <w:p>
      <w:pPr>
        <w:pStyle w:val="Heading2"/>
      </w:pPr>
      <w:r>
        <w:t>2.5 Variceal Bleeding — Vasoactive Drugs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Terlipressin vs no vasoactive: cải thiện bleeding control 48h (OR 2.94, P=0.0008), ↓ in-hospital mortality (OR 0.31, P=0.008)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30508958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 RCTs, n=3344 bệnh nhân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30508958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Terlipressin có nguy cơ complications cao hơn somatostatin (OR 2.44, P=0.04)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30508958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T-V vs O-S: mortality RR 1.01 (95%CI 0.83–1.22) — tương đương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33723542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T-V có adverse events cao hơn O-S: RR 2.39 (95%CI 1.58–3.63, I²=57%)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33723542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21 RCTs included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33723542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</w:tbl>
    <w:p>
      <w:pPr>
        <w:pStyle w:val="Heading2"/>
      </w:pPr>
      <w:r>
        <w:t>2.6 Erythromycin Pre-endoscopy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Erythromycin cải thiện endoscopic visualization score: SMD 0.58 (95% CI 0.26–0.91)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40611560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Adequate mucosal visualization: RR 1.55 (95% CI 1.18–2.04)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40611560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Erythromycin giảm need for second-look endoscopy, transfusion, hospital stay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40611560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[DIRECTION ONLY]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Metoclopramide KHÔNG hiệu quả hơn placebo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40611560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[DIRECTION ONLY]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16 studies, n=1.447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40611560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</w:tbl>
    <w:p>
      <w:pPr>
        <w:pStyle w:val="Heading2"/>
      </w:pPr>
      <w:r>
        <w:t>2.7 Risk Stratification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GBS sensitivity 0.98, specificity 0.16 (cutoff 0)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27640399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GBS cutoff 0 có sensitivity 0.99, specificity 0.08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27640399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AIMS65 sensitivity 0.79, specificity 0.61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27640399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CTP best for in-hospital mortality in AVB: AUC 0.824, sensitivity 0.910, specificity 0.666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34661508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AIMS65 highest specificity 0.774 for in-hospital mortality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34661508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 articles included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34661508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</w:tbl>
    <w:p>
      <w:pPr>
        <w:pStyle w:val="Heading2"/>
      </w:pPr>
      <w:r>
        <w:t>2.8 Baveno VII (tái sử dụng từ IM-40, PMID 35120736)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Vasoactive drugs (terlipressin/somatostatin/octreotide) NGAY khi nghi vỡ TMTQ — không chờ nội soi xác nhận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Kháng sinh dự phòng (ceftriaxone) cho tất cả BN xơ gan có XHTH — giảm nhiễm trùng, tái XH, tử vong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Restrictive transfusion (Hb &lt;7)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soi &lt;12h cho vỡ TMTQ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FFP để điều chỉnh INR kéo dài ở BN xơ 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</w:tbl>
    <w:p/>
    <w:p>
      <w:pPr>
        <w:pStyle w:val="Heading1"/>
      </w:pPr>
      <w:r>
        <w:t>3. Kiến thức nền — anatomy/physiology (có nguồn)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Kiến thức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Ống tiêu hóa nuôi bởi 3 nhánh ĐM chủ bụng: thân tạng, mạc treo tràng trên, mạc treo tràng dưới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Netter's Atlas of Human Anatomy, 8e, Plates 278-300]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Góc Treitz = chỗ nối tá tràng-hỗng tràng, mốc phân biệt XHTH trên/dưới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Gray's Anatomy, 42e]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Thể tích máu ~70 mL/kg. Sốc mất máu phân loại ATLS class I-IV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ATLS Student Course Manual, 10e. ACS]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Baroreflex: ↓HA → ↓kích thích thụ thể áp lực xoang cảnh/quai ĐMC → ↑giao cảm → ↑HR, co mạch ngoại vi/tạng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Guyton and Hall, 15e, Ch.25]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Pepsin tiêu fibrin ở pH thấp; pH &gt;6 → cục máu đông bền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Guyton and Hall, 15e, Ch.37]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Cầm máu 3 cơ chế: co mạch tại chỗ, nút tiểu cầu, đông máu huyết tương (fibrin)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Guyton and Hall, 15e, Ch.37]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BUN/Cr &gt;30:1 gợi ý XHTH trên (hấp thu protein máu ở ruột non→↑BUN)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Harrison's Principles of Internal Medicine, 21e, Ch.47]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Xơ gan → ↑NO nội sinh → giãn mạch tạng nền → HA nền thấp → tụt HA sớm khi mất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Fordtran's GI and Liver Disease, 11e]</w:t>
            </w:r>
          </w:p>
        </w:tc>
      </w:tr>
    </w:tbl>
    <w:p/>
    <w:p>
      <w:pPr>
        <w:pStyle w:val="Heading1"/>
      </w:pPr>
      <w:r>
        <w:t>4. Số liệu CẤM dùng (không có trong abstract đã fetch)</w:t>
      </w:r>
    </w:p>
    <w:p>
      <w:r>
        <w:t>Các claim sau KHÔNG được phép viết vào MD vì chưa verify được từ abstract:</w:t>
      </w:r>
    </w:p>
    <w:p>
      <w:pPr>
        <w:pStyle w:val="ListBullet"/>
      </w:pPr>
      <w:r>
        <w:t>Tỉ lệ tử vong cụ thể của XHTH trên/theo từng nguyên nhân tại Việt Nam (chỉ mô tả định tính)</w:t>
      </w:r>
    </w:p>
    <w:p>
      <w:pPr>
        <w:pStyle w:val="ListBullet"/>
      </w:pPr>
      <w:r>
        <w:t>Số liệu về NNT (number needed to treat) cho kháng sinh dự phòng trong vỡ TMTQ (chỉ biết direction)</w:t>
      </w:r>
    </w:p>
    <w:p>
      <w:pPr>
        <w:pStyle w:val="ListBullet"/>
      </w:pPr>
      <w:r>
        <w:t>So sánh cụ thể PPI bolus ngắt quãng vs truyền liên tục (chưa có meta-analysis cụ thể trong brief)</w:t>
      </w:r>
    </w:p>
    <w:p>
      <w:pPr>
        <w:pStyle w:val="ListBullet"/>
      </w:pPr>
      <w:r>
        <w:t>Hiệu quả của từng prokinetic cụ thể ngoài erythromycin (metoclopramide đã có bằng chứng KHÔNG hiệu quả)</w:t>
      </w:r>
    </w:p>
    <w:p>
      <w:pPr>
        <w:pStyle w:val="ListBullet"/>
      </w:pPr>
      <w:r>
        <w:t>Chi phí/thống kê sẵn có thuốc tại BV Việt Nam (chỉ mô tả định tính, không số liệu)</w:t>
      </w:r>
    </w:p>
    <w:p/>
    <w:p>
      <w:pPr>
        <w:pStyle w:val="Heading1"/>
      </w:pPr>
      <w:r>
        <w:t>5. Dàn ý chi tiết</w:t>
      </w:r>
    </w:p>
    <w:p>
      <w:pPr>
        <w:pStyle w:val="Heading2"/>
      </w:pPr>
      <w:r>
        <w:t>Section 0: Tổng quan</w:t>
      </w:r>
    </w:p>
    <w:p>
      <w:pPr>
        <w:pStyle w:val="ListBullet"/>
      </w:pPr>
      <w:r>
        <w:t>Mở bằng case lâm sàng: BN 55t, nôn máu đỏ tươi, HA 85/50, mạch 120</w:t>
      </w:r>
    </w:p>
    <w:p>
      <w:pPr>
        <w:pStyle w:val="ListBullet"/>
      </w:pPr>
      <w:r>
        <w:t>Phép so sánh: ống tiêu hóa = đường ống</w:t>
      </w:r>
    </w:p>
    <w:p>
      <w:pPr>
        <w:pStyle w:val="ListBullet"/>
      </w:pPr>
      <w:r>
        <w:t>XHTH trên (trên góc Treitz) vs XHTH dưới (dưới góc Treitz)</w:t>
      </w:r>
    </w:p>
    <w:p>
      <w:pPr>
        <w:pStyle w:val="ListBullet"/>
      </w:pPr>
      <w:r>
        <w:t>"Cấp cứu trước chẩn đoán" — không cần biết nguồn chảy trong 60 phút đầu</w:t>
      </w:r>
    </w:p>
    <w:p>
      <w:pPr>
        <w:pStyle w:val="ListBullet"/>
      </w:pPr>
      <w:r>
        <w:t>IM-16 prerequisite cho IM-36</w:t>
      </w:r>
    </w:p>
    <w:p>
      <w:pPr>
        <w:pStyle w:val="ListBullet"/>
      </w:pPr>
      <w:r>
        <w:t>Mục tiêu: (1) nhận diện sốc mất máu, (2) hồi sức, (3) thuốc ban đầu, (4) phân tầng GBS/AIMS65, (5) quyết định nội soi/chuyển tuyến</w:t>
      </w:r>
    </w:p>
    <w:p>
      <w:pPr>
        <w:pStyle w:val="ListBullet"/>
      </w:pPr>
      <w:r>
        <w:t>0.1 Nền tảng tối thiểu: kiến thức nền #1–4, ABCDE, restrictive transfusion</w:t>
      </w:r>
    </w:p>
    <w:p>
      <w:pPr>
        <w:pStyle w:val="Heading2"/>
      </w:pPr>
      <w:r>
        <w:t>Section 1: Sinh lý bệnh — Mất máu cấp [CỐT LÕI]</w:t>
      </w:r>
    </w:p>
    <w:p>
      <w:pPr>
        <w:pStyle w:val="ListBullet"/>
      </w:pPr>
      <w:r>
        <w:t>1.0 Nhắc nhanh: kiến thức nền #1–2</w:t>
      </w:r>
    </w:p>
    <w:p>
      <w:pPr>
        <w:pStyle w:val="ListBullet"/>
      </w:pPr>
      <w:r>
        <w:t>1.1 ATLS class I–IV: bảng chi tiết</w:t>
      </w:r>
    </w:p>
    <w:p>
      <w:pPr>
        <w:pStyle w:val="ListBullet"/>
      </w:pPr>
      <w:r>
        <w:t>1.2 Đáp ứng bù trừ + bẫy lâm sàng: kiến thức nền #4, #8; người già/chẹn beta/ĐTĐ không nhịp nhanh; xơ gan tụt HA sớm</w:t>
      </w:r>
    </w:p>
    <w:p>
      <w:pPr>
        <w:pStyle w:val="ListBullet"/>
      </w:pPr>
      <w:r>
        <w:t>1.3 Cầm máu tự nhiên: kiến thức nền #6, #5 — cơ sở dùng PPI</w:t>
      </w:r>
    </w:p>
    <w:p>
      <w:pPr>
        <w:pStyle w:val="Heading2"/>
      </w:pPr>
      <w:r>
        <w:t>Section 2: Nhận diện &amp; Đánh giá ban đầu [CỐT LÕI]</w:t>
      </w:r>
    </w:p>
    <w:p>
      <w:pPr>
        <w:pStyle w:val="ListBullet"/>
      </w:pPr>
      <w:r>
        <w:t>2.1 ABCDE: chi tiết từng bước</w:t>
      </w:r>
    </w:p>
    <w:p>
      <w:pPr>
        <w:pStyle w:val="ListBullet"/>
      </w:pPr>
      <w:r>
        <w:t>2.2 Hỏi nhanh 4 câu: bảng</w:t>
      </w:r>
    </w:p>
    <w:p>
      <w:pPr>
        <w:pStyle w:val="ListBullet"/>
      </w:pPr>
      <w:r>
        <w:t>2.3 Khám thực thể trọng điểm</w:t>
      </w:r>
    </w:p>
    <w:p>
      <w:pPr>
        <w:pStyle w:val="ListBullet"/>
      </w:pPr>
      <w:r>
        <w:t>BOX ĐỎ: nôn máu đỏ tươi lượng lớn + tụt HA + lú lẫn</w:t>
      </w:r>
    </w:p>
    <w:p>
      <w:pPr>
        <w:pStyle w:val="ListBullet"/>
      </w:pPr>
      <w:r>
        <w:t>🛑 checkpoint</w:t>
      </w:r>
    </w:p>
    <w:p>
      <w:pPr>
        <w:pStyle w:val="Heading2"/>
      </w:pPr>
      <w:r>
        <w:t>Section 3: Xét nghiệm trong 60 phút đầu [CỐT LÕI]</w:t>
      </w:r>
    </w:p>
    <w:p>
      <w:pPr>
        <w:pStyle w:val="ListBullet"/>
      </w:pPr>
      <w:r>
        <w:t>3.1 Xét nghiệm bắt buộc: CTM (bẫy Hb ban đầu), đông máu, nhóm máu, sinh hóa (BUN/Cr &gt;30:1 = kiến thức nền #7), lactate</w:t>
      </w:r>
    </w:p>
    <w:p>
      <w:pPr>
        <w:pStyle w:val="ListBullet"/>
      </w:pPr>
      <w:r>
        <w:t>3.2 Xét nghiệm tùy tình huống: troponin, ECG</w:t>
      </w:r>
    </w:p>
    <w:p>
      <w:pPr>
        <w:pStyle w:val="ListBullet"/>
      </w:pPr>
      <w:r>
        <w:t>3.3 NG tube: chỉ định, chống chỉ định</w:t>
      </w:r>
    </w:p>
    <w:p>
      <w:pPr>
        <w:pStyle w:val="Heading2"/>
      </w:pPr>
      <w:r>
        <w:t>Section 4: Hồi sức dịch và truyền máu [CỐT LÕI]</w:t>
      </w:r>
    </w:p>
    <w:p>
      <w:pPr>
        <w:pStyle w:val="ListBullet"/>
      </w:pPr>
      <w:r>
        <w:t>4.1 Dịch truyền: crystalloid (RL hoặc NaCl 0.9%), bolus 500–1000 mL, KHÔNG colloid. Mục tiêu: HATT ≥100, HR &lt;100, UO &gt;0.5 mL/kg/h, lactate ↓</w:t>
      </w:r>
    </w:p>
    <w:p>
      <w:pPr>
        <w:pStyle w:val="ListBullet"/>
      </w:pPr>
      <w:r>
        <w:t>4.2 Restrictive transfusion: claims T1–T7, E5, A2, B3. Ngưỡng Hb &lt;7 (hoặc &lt;8 ở bệnh tim mạch)</w:t>
      </w:r>
    </w:p>
    <w:p>
      <w:pPr>
        <w:pStyle w:val="ListBullet"/>
      </w:pPr>
      <w:r>
        <w:t>4.3 MTP: khi nào kích hoạt, tỉ lệ 1:1:1</w:t>
      </w:r>
    </w:p>
    <w:p>
      <w:pPr>
        <w:pStyle w:val="ListBullet"/>
      </w:pPr>
      <w:r>
        <w:t>4.4 BN đặc biệt: xơ gan (không FFP để chỉnh INR), bệnh tim mạch</w:t>
      </w:r>
    </w:p>
    <w:p>
      <w:pPr>
        <w:pStyle w:val="Heading2"/>
      </w:pPr>
      <w:r>
        <w:t>Section 5: Thuốc ban đầu trong 60 phút [CỐT LÕI]</w:t>
      </w:r>
    </w:p>
    <w:p>
      <w:pPr>
        <w:pStyle w:val="ListBullet"/>
      </w:pPr>
      <w:r>
        <w:t>5.1 PPI: cơ chế (kiến thức nền #5), chỉ định, cách dùng, claims E3, A3</w:t>
      </w:r>
    </w:p>
    <w:p>
      <w:pPr>
        <w:pStyle w:val="ListBullet"/>
      </w:pPr>
      <w:r>
        <w:t>5.2 Vasoactive drugs: terlipressin (2 mg IV bolus → 1–2 mg mỗi 4–6h), octreotide (50 mcg bolus → 25–50 mcg/h). Claims V1–V6, B1</w:t>
      </w:r>
    </w:p>
    <w:p>
      <w:pPr>
        <w:pStyle w:val="ListBullet"/>
      </w:pPr>
      <w:r>
        <w:t>5.3 Kháng sinh dự phòng: ceftriaxone 1g IV/24h × 7d. Claim B2</w:t>
      </w:r>
    </w:p>
    <w:p>
      <w:pPr>
        <w:pStyle w:val="ListBullet"/>
      </w:pPr>
      <w:r>
        <w:t>5.4 Erythromycin: 250 mg IV 30–90 phút trước nội soi. Claims Er1–Er5</w:t>
      </w:r>
    </w:p>
    <w:p>
      <w:pPr>
        <w:pStyle w:val="ListBullet"/>
      </w:pPr>
      <w:r>
        <w:t>5.5 TXA: KHÔNG khuyến cáo. Claims H1–H4</w:t>
      </w:r>
    </w:p>
    <w:p>
      <w:pPr>
        <w:pStyle w:val="ListBullet"/>
      </w:pPr>
      <w:r>
        <w:t>5.6 Đảo ngược kháng đông/kháng TC: warfarin (vit K + PCC), DOAC, aspirin, DAPT</w:t>
      </w:r>
    </w:p>
    <w:p>
      <w:pPr>
        <w:pStyle w:val="Heading2"/>
      </w:pPr>
      <w:r>
        <w:t>Section 6: Phân tầng nguy cơ và quyết định nội soi [CỐT LÕI]</w:t>
      </w:r>
    </w:p>
    <w:p>
      <w:pPr>
        <w:pStyle w:val="ListBullet"/>
      </w:pPr>
      <w:r>
        <w:t>6.1 GBS: 8 biến, GBS 0–1 = outpatient (claims E1, A1, R1–R2)</w:t>
      </w:r>
    </w:p>
    <w:p>
      <w:pPr>
        <w:pStyle w:val="ListBullet"/>
      </w:pPr>
      <w:r>
        <w:t>6.2 AIMS65: 5 biến, đơn giản (claims R3, R5)</w:t>
      </w:r>
    </w:p>
    <w:p>
      <w:pPr>
        <w:pStyle w:val="ListBullet"/>
      </w:pPr>
      <w:r>
        <w:t>6.3 Rockall: sau nội soi → IM-36</w:t>
      </w:r>
    </w:p>
    <w:p>
      <w:pPr>
        <w:pStyle w:val="ListBullet"/>
      </w:pPr>
      <w:r>
        <w:t>6.4 Phân luồng nội soi: cấp cứu &lt;6h, sớm &lt;24h, trì hoãn (claims E5, A4, B4)</w:t>
      </w:r>
    </w:p>
    <w:p>
      <w:pPr>
        <w:pStyle w:val="Heading2"/>
      </w:pPr>
      <w:r>
        <w:t>Section 7: Evidence &amp; Guidelines [CỐT LÕI]</w:t>
      </w:r>
    </w:p>
    <w:p>
      <w:pPr>
        <w:pStyle w:val="ListBullet"/>
      </w:pPr>
      <w:r>
        <w:t>7.1 ESGE 2021 (33567467): key recommendations</w:t>
      </w:r>
    </w:p>
    <w:p>
      <w:pPr>
        <w:pStyle w:val="ListBullet"/>
      </w:pPr>
      <w:r>
        <w:t>7.2 ACG 2021 (33929377): key recommendations</w:t>
      </w:r>
    </w:p>
    <w:p>
      <w:pPr>
        <w:pStyle w:val="ListBullet"/>
      </w:pPr>
      <w:r>
        <w:t>7.3 Baveno VII (35120736): key recommendations</w:t>
      </w:r>
    </w:p>
    <w:p>
      <w:pPr>
        <w:pStyle w:val="ListBullet"/>
      </w:pPr>
      <w:r>
        <w:t>7.4 HALT-IT (32563378): TXA negative</w:t>
      </w:r>
    </w:p>
    <w:p>
      <w:pPr>
        <w:pStyle w:val="ListBullet"/>
      </w:pPr>
      <w:r>
        <w:t>7.5 TRIGGER + Cochrane meta: transfusion evidence</w:t>
      </w:r>
    </w:p>
    <w:p>
      <w:pPr>
        <w:pStyle w:val="Heading2"/>
      </w:pPr>
      <w:r>
        <w:t>Section 8: Lưu đồ quyết định lâm sàng [CỐT LÕI]</w:t>
      </w:r>
    </w:p>
    <w:p>
      <w:pPr>
        <w:pStyle w:val="ListBullet"/>
      </w:pPr>
      <w:r>
        <w:t>Mermaid 1: Tiếp cận BN XHTH 0–60 phút</w:t>
      </w:r>
    </w:p>
    <w:p>
      <w:pPr>
        <w:pStyle w:val="ListBullet"/>
      </w:pPr>
      <w:r>
        <w:t>Mermaid 2: Nhánh nghi vỡ TMTQ</w:t>
      </w:r>
    </w:p>
    <w:p>
      <w:pPr>
        <w:pStyle w:val="Heading2"/>
      </w:pPr>
      <w:r>
        <w:t>Section 9: Sai lầm thường gặp [CỐT LÕI]</w:t>
      </w:r>
    </w:p>
    <w:p>
      <w:r>
        <w:t>(Bảng 7 lỗi — từ plan + clinical experience)</w:t>
      </w:r>
    </w:p>
    <w:p>
      <w:pPr>
        <w:pStyle w:val="Heading2"/>
      </w:pPr>
      <w:r>
        <w:t>Section 10: Bảng thuốc và liều dùng [THAM KHẢO]</w:t>
      </w:r>
    </w:p>
    <w:p>
      <w:pPr>
        <w:pStyle w:val="Heading2"/>
      </w:pPr>
      <w:r>
        <w:t>Section 11: Áp dụng tại Việt Nam [CỐT LÕI]</w:t>
      </w:r>
    </w:p>
    <w:p>
      <w:pPr>
        <w:pStyle w:val="ListBullet"/>
      </w:pPr>
      <w:r>
        <w:t>Plan A/Plan B cho từng tình huống</w:t>
      </w:r>
    </w:p>
    <w:p>
      <w:pPr>
        <w:pStyle w:val="ListBullet"/>
      </w:pPr>
      <w:r>
        <w:t>Thuốc sẵn có/không sẵn có</w:t>
      </w:r>
    </w:p>
    <w:p>
      <w:pPr>
        <w:pStyle w:val="ListBullet"/>
      </w:pPr>
      <w:r>
        <w:t>Chuyển tuyến khi không thể nội soi cấp cứu</w:t>
      </w:r>
    </w:p>
    <w:p>
      <w:pPr>
        <w:pStyle w:val="Heading2"/>
      </w:pPr>
      <w:r>
        <w:t>Section 12: Case lâm sàng [NÂNG CAO]</w:t>
      </w:r>
    </w:p>
    <w:p>
      <w:r>
        <w:t>(4 cases từ plan)</w:t>
      </w:r>
    </w:p>
    <w:p>
      <w:pPr>
        <w:pStyle w:val="Heading2"/>
      </w:pPr>
      <w:r>
        <w:t>Section 13: Tips thực hành [THAM KHẢO]</w:t>
      </w:r>
    </w:p>
    <w:p>
      <w:r>
        <w:t>(10 tips)</w:t>
      </w:r>
    </w:p>
    <w:p>
      <w:pPr>
        <w:pStyle w:val="Heading2"/>
      </w:pPr>
      <w:r>
        <w:t>Section 14: Tổng kết [CỐT LÕI]</w:t>
      </w:r>
    </w:p>
    <w:p>
      <w:r>
        <w:t>(10 điểm)</w:t>
      </w:r>
    </w:p>
    <w:p>
      <w:pPr>
        <w:pStyle w:val="Heading2"/>
      </w:pPr>
      <w:r>
        <w:t>Section 15: Tài liệu tham khảo</w:t>
      </w:r>
    </w:p>
    <w:p/>
    <w:p>
      <w:pPr>
        <w:pStyle w:val="Heading1"/>
      </w:pPr>
      <w:r>
        <w:t>6. Hướng dẫn cho model execute</w:t>
      </w:r>
    </w:p>
    <w:p>
      <w:r>
        <w:rPr>
          <w:rFonts w:ascii="Consolas" w:hAnsi="Consolas"/>
          <w:sz w:val="18"/>
        </w:rPr>
        <w:t>Bạn là model execute. Nhiệm vụ: viết bài MD hoàn chỉnh từ brief này.</w:t>
        <w:br/>
        <w:br/>
        <w:t>QUY TẮC CỨNG:</w:t>
        <w:br/>
        <w:t>1. CHỈ dùng claims trong bảng "Claims đã verify" — KHÔNG thêm claim mới</w:t>
        <w:br/>
        <w:t>2. CHỈ dùng số liệu có tag [FULL VERIFIED] — nếu không có tag này, chỉ viết định tính</w:t>
        <w:br/>
        <w:t>3. CHỈ dùng kiến thức nền có nguồn trong bảng "Kiến thức nền"</w:t>
        <w:br/>
        <w:t>4. Với mỗi section, follow dàn ý chi tiết — thêm ví dụ, paraphrase, nhưng không thêm ý</w:t>
        <w:br/>
        <w:t>5. Tiếng Việt có dấu đầy đủ. Thuật ngữ y khoa giữ tiếng Anh.</w:t>
        <w:br/>
        <w:t>6. Thêm checkpoint (🛑) sau mỗi 2–3 section</w:t>
        <w:br/>
        <w:t>7. Nếu không chắc chắn về 1 claim → bỏ claim đó, không bịa</w:t>
        <w:br/>
        <w:t>8. Template: theo template_lesson.md</w:t>
        <w:br/>
        <w:br/>
        <w:t>OUTPUT: File MD hoàn chỉnh theo template_lesson.md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