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40"/>
        </w:rPr>
        <w:t>QA — TĂNG HUYẾT ÁP</w:t>
      </w:r>
    </w:p>
    <w:p>
      <w:pPr>
        <w:jc w:val="center"/>
      </w:pPr>
      <w:r>
        <w:rPr>
          <w:rFonts w:ascii="Times New Roman" w:hAnsi="Times New Roman"/>
          <w:color w:val="00508C"/>
          <w:sz w:val="26"/>
        </w:rPr>
        <w:t>Chẩn đoán &amp; Lựa chọn thuốc đầu tay</w:t>
      </w:r>
    </w:p>
    <w:p>
      <w:pPr>
        <w:jc w:val="center"/>
      </w:pPr>
      <w:r>
        <w:rPr>
          <w:rFonts w:ascii="Times New Roman" w:hAnsi="Times New Roman"/>
          <w:i/>
          <w:color w:val="646464"/>
          <w:sz w:val="19"/>
        </w:rPr>
        <w:t>Ngày: 21/07/2026  |  Nguồn: ESC/ESH 2024 · ACC/AHA 2017 · ISH 2020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PHẦN 1: CHẨN ĐOÁN TĂNG HUYẾT ÁP</w:t>
      </w:r>
    </w:p>
    <w:p>
      <w:pPr>
        <w:pStyle w:val="Heading2"/>
      </w:pPr>
      <w:r>
        <w:rPr>
          <w:rFonts w:ascii="Times New Roman" w:hAnsi="Times New Roman"/>
          <w:color w:val="003366"/>
        </w:rPr>
        <w:t>Q1. Đo huyết áp ĐÚNG kỹ thuật?</w:t>
      </w:r>
    </w:p>
    <w:p>
      <w:pPr>
        <w:pStyle w:val="ListBullet"/>
      </w:pPr>
      <w:r>
        <w:rPr>
          <w:rFonts w:ascii="Times New Roman" w:hAnsi="Times New Roman"/>
        </w:rPr>
        <w:t>BN nghỉ ≥5 phút, phòng yên tĩnh, không nói chuyện, bàng quang trống.</w:t>
      </w:r>
    </w:p>
    <w:p>
      <w:pPr>
        <w:pStyle w:val="ListBullet"/>
      </w:pPr>
      <w:r>
        <w:rPr>
          <w:rFonts w:ascii="Times New Roman" w:hAnsi="Times New Roman"/>
        </w:rPr>
        <w:t>Không cà phê/thuốc lá ≥30 phút trước đo.</w:t>
      </w:r>
    </w:p>
    <w:p>
      <w:pPr>
        <w:pStyle w:val="ListBullet"/>
      </w:pPr>
      <w:r>
        <w:rPr>
          <w:rFonts w:ascii="Times New Roman" w:hAnsi="Times New Roman"/>
        </w:rPr>
        <w:t>Ngồi tựa lưng, chân chạm sàn, cánh tay ngang mức tim. Cuff đúng kích thước (bọc 80% chu vi cánh tay).</w:t>
      </w:r>
    </w:p>
    <w:p>
      <w:pPr>
        <w:pStyle w:val="ListBullet"/>
      </w:pPr>
      <w:r>
        <w:rPr>
          <w:rFonts w:ascii="Times New Roman" w:hAnsi="Times New Roman"/>
        </w:rPr>
        <w:t>Đo ≥2–3 lần, cách nhau 1–2 phút → lấy trung bình 2 lần cuối.</w:t>
      </w:r>
    </w:p>
    <w:p>
      <w:pPr>
        <w:pStyle w:val="ListBullet"/>
      </w:pPr>
      <w:r>
        <w:rPr>
          <w:rFonts w:ascii="Times New Roman" w:hAnsi="Times New Roman"/>
        </w:rPr>
        <w:t>Lần đầu đo cả 2 tay → chọn tay HA cao hơn để theo dõi tiếp. Chênh &gt;15 mmHg → nghi ngờ bệnh ĐM ngoại biên.</w:t>
      </w:r>
    </w:p>
    <w:p>
      <w:pPr>
        <w:pStyle w:val="ListBullet"/>
      </w:pPr>
      <w:r>
        <w:rPr>
          <w:rFonts w:ascii="Times New Roman" w:hAnsi="Times New Roman"/>
        </w:rPr>
        <w:t>KHÔNG chẩn đoán THA dựa vào 1 lần đo duy nhất (trừ khi HA ≥180/120 + tổn thương cơ quan đích).</w:t>
      </w:r>
    </w:p>
    <w:p>
      <w:pPr>
        <w:pStyle w:val="Heading2"/>
      </w:pPr>
      <w:r>
        <w:rPr>
          <w:rFonts w:ascii="Times New Roman" w:hAnsi="Times New Roman"/>
          <w:color w:val="003366"/>
        </w:rPr>
        <w:t>Q2. Tiêu chuẩn chẩn đoán &amp; phân độ THA?</w:t>
      </w:r>
    </w:p>
    <w:p>
      <w:r>
        <w:rPr>
          <w:rFonts w:ascii="Times New Roman" w:hAnsi="Times New Roman"/>
          <w:b/>
        </w:rPr>
        <w:t>Phân độ theo ESC/ESH 2024 (đo tại phòng khám):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Phân độ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HA tâm thu (mmHg)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HA tâm trương (mmHg)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THA độ 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140–159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và/hoặc 90–99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THA độ 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160–179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và/hoặc 100–109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THA độ 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≥180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và/hoặc ≥110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THA tâm thu đơn độc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≥140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và &lt;90</w:t>
            </w:r>
          </w:p>
        </w:tc>
      </w:tr>
    </w:tbl>
    <w:p/>
    <w:p>
      <w:r>
        <w:rPr>
          <w:rFonts w:ascii="Times New Roman" w:hAnsi="Times New Roman"/>
          <w:b/>
        </w:rPr>
        <w:t>Xác nhận bằng đo NGOÀI PHÒNG KHÁM:</w:t>
      </w:r>
    </w:p>
    <w:p>
      <w:pPr>
        <w:pStyle w:val="ListBullet"/>
      </w:pPr>
      <w:r>
        <w:rPr>
          <w:rFonts w:ascii="Times New Roman" w:hAnsi="Times New Roman"/>
        </w:rPr>
        <w:t>HBPM (đo tại nhà): ≥135/85 mmHg — ít nhất 3–4 ngày, 2 lần/ngày.</w:t>
      </w:r>
    </w:p>
    <w:p>
      <w:pPr>
        <w:pStyle w:val="ListBullet"/>
      </w:pPr>
      <w:r>
        <w:rPr>
          <w:rFonts w:ascii="Times New Roman" w:hAnsi="Times New Roman"/>
        </w:rPr>
        <w:t>ABPM (Holter HA 24h): trung bình 24h ≥130/80; ban ngày ≥135/85; ban đêm ≥120/70. TIÊU CHUẨN VÀNG.</w:t>
      </w:r>
    </w:p>
    <w:p>
      <w:pPr>
        <w:pStyle w:val="Heading2"/>
      </w:pPr>
      <w:r>
        <w:rPr>
          <w:rFonts w:ascii="Times New Roman" w:hAnsi="Times New Roman"/>
          <w:color w:val="003366"/>
        </w:rPr>
        <w:t>Q3. Xét nghiệm BẮT BUỘC cho BN mới chẩn đoán THA?</w:t>
      </w:r>
    </w:p>
    <w:p>
      <w:pPr>
        <w:pStyle w:val="ListBullet"/>
      </w:pPr>
      <w:r>
        <w:rPr>
          <w:rFonts w:ascii="Times New Roman" w:hAnsi="Times New Roman"/>
        </w:rPr>
        <w:t>Công thức máu, Glucose đói / HbA1c (tầm soát ĐTĐ).</w:t>
      </w:r>
    </w:p>
    <w:p>
      <w:pPr>
        <w:pStyle w:val="ListBullet"/>
      </w:pPr>
      <w:r>
        <w:rPr>
          <w:rFonts w:ascii="Times New Roman" w:hAnsi="Times New Roman"/>
        </w:rPr>
        <w:t>Bilan lipid máu: LDL-C, HDL-C, Triglyceride, Cholesterol toàn phần.</w:t>
      </w:r>
    </w:p>
    <w:p>
      <w:pPr>
        <w:pStyle w:val="ListBullet"/>
      </w:pPr>
      <w:r>
        <w:rPr>
          <w:rFonts w:ascii="Times New Roman" w:hAnsi="Times New Roman"/>
        </w:rPr>
        <w:t>Creatinin huyết thanh, eGFR, Na+, K+, acid uric.</w:t>
      </w:r>
    </w:p>
    <w:p>
      <w:pPr>
        <w:pStyle w:val="ListBullet"/>
      </w:pPr>
      <w:r>
        <w:rPr>
          <w:rFonts w:ascii="Times New Roman" w:hAnsi="Times New Roman"/>
        </w:rPr>
        <w:t>Tổng phân tích nước tiểu + ACR (albumin/creatinin niệu).</w:t>
      </w:r>
    </w:p>
    <w:p>
      <w:pPr>
        <w:pStyle w:val="ListBullet"/>
      </w:pPr>
      <w:r>
        <w:rPr>
          <w:rFonts w:ascii="Times New Roman" w:hAnsi="Times New Roman"/>
        </w:rPr>
        <w:t>ECG 12 chuyển đạo (phát hiện LVH, rung nhĩ, thiếu máu cơ tim).</w:t>
      </w:r>
    </w:p>
    <w:p>
      <w:pPr>
        <w:pStyle w:val="Heading2"/>
      </w:pPr>
      <w:r>
        <w:rPr>
          <w:rFonts w:ascii="Times New Roman" w:hAnsi="Times New Roman"/>
          <w:color w:val="003366"/>
        </w:rPr>
        <w:t>Q4. Tầm soát tổn thương cơ quan đích (HMOD)?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Cơ quan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Test tầm soát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Dấu hiệu tổn thương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TIM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ECG + Siêu âm tim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LVH (Sokolow ≥35mm, Cornell &gt;28mm). LVMI nam &gt;115, nữ &gt;95 g/m²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THẬN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Cr, eGFR, ACR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eGFR &lt;60 mL/ph/1.73m². ACR 30–300 mg/g (microalbumin niệu)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MẠCH MÁU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Siêu âm ĐM cảnh, PWV, ABI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IMT &gt;0.9mm hoặc mảng xơ vữa. PWV &gt;10 m/s. ABI &lt;0.9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MẮT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Soi đáy mắt (Keith-Wagener)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KW I–II: hẹp ĐM. KW III: xuất huyết + xuất tiết. KW IV: phù gai (THA ác tính)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NÃO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MRI/CT nếu triệu chứng TK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Nhồi máu ổ khuyết, bệnh chất trắng, vi chảy máu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3366"/>
        </w:rPr>
        <w:t>Q5. Khi nào nghi ngờ THA THỨ PHÁT?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Dấu hiệu "CỜ ĐỎ"</w:t>
            </w:r>
          </w:p>
        </w:tc>
        <w:tc>
          <w:tcPr>
            <w:tcW w:type="dxa" w:w="4844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Nghĩ đến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Khởi phát &lt;30t, không béo phì, không TSGĐ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Bệnh nhu mô thận, FMD, hẹp eo ĐMC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THA KHÁNG TRỊ (≥3 thuốc gồm lợi tiểu)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Cường aldosterone (Conn), hẹp ĐM thận, OSA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Hạ K+ máu tự phát / sau lợi tiểu liều thấp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CƯỜNG ALDOSTERONE (Conn) — DO ARR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Cơn THA kịch phát + hồi hộp, đau đầu, vã mồ hôi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U TỦY THƯỢNG THẬN (Pheo) — DO metanephrine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Mạch đùi yếu + HA chân thấp hơn tay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HẸP EO ĐMC — siêu âm tim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Mặt tròn đỏ, rạn da, yếu cơ gốc chi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HC CUSHING — cortisol niệu 24h / test DST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3366"/>
        </w:rPr>
        <w:t>Q6. Phân tầng nguy cơ tim mạch — SCORE2?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Mức nguy cơ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Đặc điểm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Hành động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Thấp–Trung bình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THA độ 1, không YTNC, không HMOD, SCORE2 &lt;5%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Thử lối sống 3–6 tháng trước khi dùng thuốc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CAO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THA độ 2–3, hoặc ≥3 YTNC, hoặc HMOD, hoặc ĐTĐ không biến chứng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THUỐC NGAY + lối sống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RẤT CAO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Có bệnh TM lâm sàng (CAD, TIA/stroke), CKD ≥3b, ĐTĐ có HMOD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THUỐC NGAY + kiểm soát tích cực mọi YTNC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PHẦN 2: LỰA CHỌN THUỐC THA ĐẦU TAY</w:t>
      </w:r>
    </w:p>
    <w:p>
      <w:pPr>
        <w:pStyle w:val="Heading2"/>
      </w:pPr>
      <w:r>
        <w:rPr>
          <w:rFonts w:ascii="Times New Roman" w:hAnsi="Times New Roman"/>
          <w:color w:val="003366"/>
        </w:rPr>
        <w:t>Q7. Bốn nhóm thuốc THA đầu tay?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Nhóm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Ví dụ tại VN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Cơ chế chính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ACEi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Enalapril, Lisinopril, Perindopril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↓ Angiotensin II → giãn mạch, ↓ aldosterone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ARB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Losartan, Telmisartan, Valsartan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Chẹn AT1 → giãn mạch, ÍT HO hơn ACEi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CCB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Amlodipine, Nifedipine XL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Giãn cơ trơn mạch máu ngoại vi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Thiazide-like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Indapamide, Chlorthalidone, HCTZ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↓ tái hấp thu Na+ ở ống lượn xa</w:t>
            </w:r>
          </w:p>
        </w:tc>
      </w:tr>
    </w:tbl>
    <w:p/>
    <w:p>
      <w:r>
        <w:rPr>
          <w:rFonts w:ascii="Times New Roman" w:hAnsi="Times New Roman"/>
          <w:b/>
        </w:rPr>
        <w:t>Beta-blockers KHÔNG còn là thuốc đầu tay cho THA không biến chứng. Chỉ dùng khi có chỉ định bắt buộc: CAD, suy tim, sau NMCT, rung nhĩ.</w:t>
      </w:r>
    </w:p>
    <w:p>
      <w:pPr>
        <w:pStyle w:val="Heading2"/>
      </w:pPr>
      <w:r>
        <w:rPr>
          <w:rFonts w:ascii="Times New Roman" w:hAnsi="Times New Roman"/>
          <w:color w:val="003366"/>
        </w:rPr>
        <w:t>Q8. Đơn trị hay phối hợp?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Đối tượng</w:t>
            </w:r>
          </w:p>
        </w:tc>
        <w:tc>
          <w:tcPr>
            <w:tcW w:type="dxa" w:w="4844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Chiến lược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THA độ 1, nguy cơ thấp, &gt;80t, suy kiệt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ĐƠN TRỊ liều thấp → tăng dần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THA ≥độ 2 hoặc nguy cơ cao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PHỐI HỢP 2 thuốc liều thấp — ưu tiên single-pill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HA &gt;150/100 hoặc nguy cơ rất cao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PHỐI HỢP NGAY từ đầu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3366"/>
        </w:rPr>
        <w:t>Q9. Phối hợp thuốc — cặp nào TỐI ƯU, cặp nào CẤM?</w:t>
      </w:r>
    </w:p>
    <w:p>
      <w:r>
        <w:rPr>
          <w:rFonts w:ascii="Times New Roman" w:hAnsi="Times New Roman"/>
          <w:b/>
        </w:rPr>
        <w:t>TỐI ƯU:</w:t>
      </w:r>
    </w:p>
    <w:p>
      <w:pPr>
        <w:pStyle w:val="ListBullet"/>
      </w:pPr>
      <w:r>
        <w:rPr>
          <w:rFonts w:ascii="Times New Roman" w:hAnsi="Times New Roman"/>
        </w:rPr>
        <w:t>ACEi/ARB + CCB (phối hợp được khuyến cáo nhiều nhất)</w:t>
      </w:r>
    </w:p>
    <w:p>
      <w:pPr>
        <w:pStyle w:val="ListBullet"/>
      </w:pPr>
      <w:r>
        <w:rPr>
          <w:rFonts w:ascii="Times New Roman" w:hAnsi="Times New Roman"/>
        </w:rPr>
        <w:t>ACEi/ARB + Thiazide-like</w:t>
      </w:r>
    </w:p>
    <w:p>
      <w:pPr>
        <w:pStyle w:val="ListBullet"/>
      </w:pPr>
      <w:r>
        <w:rPr>
          <w:rFonts w:ascii="Times New Roman" w:hAnsi="Times New Roman"/>
        </w:rPr>
        <w:t>CCB + Thiazide-like (có thể dùng)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CẤM PHỐI HỢP:</w:t>
      </w:r>
    </w:p>
    <w:p>
      <w:pPr>
        <w:pStyle w:val="ListBullet"/>
      </w:pPr>
      <w:r>
        <w:rPr>
          <w:rFonts w:ascii="Times New Roman" w:hAnsi="Times New Roman"/>
        </w:rPr>
        <w:t>ACEi + ARB — tăng nguy cơ AKI, hạ HA quá mức, KHÔNG CÓ LỢI ÍCH THÊM!</w:t>
      </w:r>
    </w:p>
    <w:p>
      <w:pPr>
        <w:pStyle w:val="ListBullet"/>
      </w:pPr>
      <w:r>
        <w:rPr>
          <w:rFonts w:ascii="Times New Roman" w:hAnsi="Times New Roman"/>
        </w:rPr>
        <w:t>Verapamil/Diltiazem (non-DHP CCB) + BB — nguy cơ block tim, chậm nhịp nặng.</w:t>
      </w:r>
    </w:p>
    <w:p>
      <w:pPr>
        <w:pStyle w:val="Heading2"/>
      </w:pPr>
      <w:r>
        <w:rPr>
          <w:rFonts w:ascii="Times New Roman" w:hAnsi="Times New Roman"/>
          <w:color w:val="003366"/>
        </w:rPr>
        <w:t>Q10. Chọn thuốc theo BỆNH ĐỒNG MẮC (compelling indications)?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Bệnh đồng mắc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Thuốc ƯU TIÊN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Suy tim EF giảm (HFrEF)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ACEi/ARB + BB + MRA + SGLT2i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4 trụ cột — bắt đầu liều thấp, tăng dần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Bệnh mạch vành / sau NMCT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BB + ACEi/ARB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BB giảm tử vong sau NMCT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CKD + proteinuria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ACEi/ARB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Bảo vệ thận, giảm protein niệu. Theo dõi K+, Cr.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Đái tháo đường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ACEi/ARB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Thêm SGLT2i nếu có CKD hoặc suy tim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THA tâm thu đơn độc (già)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CCB / Thiazide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Amlodipine hoặc Indapamide — dung nạp tốt nhất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Rung nhĩ (kiểm soát tần số)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BB / Verapamil / Diltiazem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BB còn dự phòng tái phát sau chuyển nhịp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Phụ nữ CÓ THAI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Methyldopa, Labetalol, Nifedipine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19"/>
              </w:rPr>
              <w:t>TUYỆT ĐỐI CẤM ACEi/ARB — dị tật thai!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3366"/>
        </w:rPr>
        <w:t>Q11. Mục tiêu huyết áp?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Đối tượng</w:t>
            </w:r>
          </w:p>
        </w:tc>
        <w:tc>
          <w:tcPr>
            <w:tcW w:type="dxa" w:w="4844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Mục tiêu HA phòng khám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&lt;65 tuổi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&lt;130/80 mmHg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≥65 tuổi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&lt;140/80 mmHg (có thể thấp hơn nếu dung nạp tốt)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ĐTĐ, CKD, CAD, sau đột quỵ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&lt;130/80 mmHg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Đo lại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19"/>
              </w:rPr>
              <w:t>Mỗi 1–3 tháng đến khi đạt mục tiêu → sau đó mỗi 3–6 tháng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3366"/>
        </w:rPr>
        <w:t>Q12. Sơ đồ khởi trị nhanh?</w:t>
      </w:r>
    </w:p>
    <w:p>
      <w:r>
        <w:rPr>
          <w:rFonts w:ascii="Times New Roman" w:hAnsi="Times New Roman"/>
          <w:b/>
        </w:rPr>
        <w:t>Bước 1 — Có chỉ định bắt buộc? (suy tim / CAD / CKD / ĐTĐ / có thai)</w:t>
      </w:r>
    </w:p>
    <w:p>
      <w:pPr>
        <w:pStyle w:val="ListBullet"/>
      </w:pPr>
      <w:r>
        <w:rPr>
          <w:rFonts w:ascii="Times New Roman" w:hAnsi="Times New Roman"/>
        </w:rPr>
        <w:t>CÓ → chọn thuốc theo bảng Q10.</w:t>
      </w:r>
    </w:p>
    <w:p>
      <w:pPr>
        <w:pStyle w:val="ListBullet"/>
      </w:pPr>
      <w:r>
        <w:rPr>
          <w:rFonts w:ascii="Times New Roman" w:hAnsi="Times New Roman"/>
        </w:rPr>
        <w:t>KHÔNG → tiếp tục bước 2.</w:t>
      </w:r>
    </w:p>
    <w:p>
      <w:r>
        <w:rPr>
          <w:rFonts w:ascii="Times New Roman" w:hAnsi="Times New Roman"/>
          <w:b/>
        </w:rPr>
        <w:t>Bước 2 — Phân độ THA và nguy cơ:</w:t>
      </w:r>
    </w:p>
    <w:p>
      <w:pPr>
        <w:pStyle w:val="ListBullet"/>
      </w:pPr>
      <w:r>
        <w:rPr>
          <w:rFonts w:ascii="Times New Roman" w:hAnsi="Times New Roman"/>
        </w:rPr>
        <w:t>THA độ 1 + nguy cơ thấp → ĐƠN TRỊ: CCB hoặc ACEi/ARB hoặc Thiazide, bắt đầu liều thấp.</w:t>
      </w:r>
    </w:p>
    <w:p>
      <w:pPr>
        <w:pStyle w:val="ListBullet"/>
      </w:pPr>
      <w:r>
        <w:rPr>
          <w:rFonts w:ascii="Times New Roman" w:hAnsi="Times New Roman"/>
        </w:rPr>
        <w:t>THA ≥độ 2 hoặc nguy cơ cao → PHỐI HỢP 2 thuốc: ACEi/ARB + CCB (ưu tiên), hoặc ACEi/ARB + Thiazide.</w:t>
      </w:r>
    </w:p>
    <w:p>
      <w:r>
        <w:rPr>
          <w:rFonts w:ascii="Times New Roman" w:hAnsi="Times New Roman"/>
          <w:b/>
        </w:rPr>
        <w:t>Bước 3 — Chưa đạt mục tiêu sau 1–3 tháng:</w:t>
      </w:r>
    </w:p>
    <w:p>
      <w:pPr>
        <w:pStyle w:val="ListBullet"/>
      </w:pPr>
      <w:r>
        <w:rPr>
          <w:rFonts w:ascii="Times New Roman" w:hAnsi="Times New Roman"/>
        </w:rPr>
        <w:t>Tăng liều thuốc hiện tại → thêm thuốc thứ 3 (CCB + ACEi/ARB + Thiazide).</w:t>
      </w:r>
    </w:p>
    <w:p>
      <w:pPr>
        <w:pStyle w:val="ListBullet"/>
      </w:pPr>
      <w:r>
        <w:rPr>
          <w:rFonts w:ascii="Times New Roman" w:hAnsi="Times New Roman"/>
        </w:rPr>
        <w:t>3 thuốc tối ưu vẫn không đạt → THA KHÁNG TRỊ → thêm Spironolactone 25–50mg/ngày (nếu K+ bình thường).</w:t>
      </w:r>
    </w:p>
    <w:p>
      <w:pPr>
        <w:pStyle w:val="ListBullet"/>
      </w:pPr>
      <w:r>
        <w:rPr>
          <w:rFonts w:ascii="Times New Roman" w:hAnsi="Times New Roman"/>
        </w:rPr>
        <w:t>Các lựa chọn khác cho THA kháng trị: BB, alpha-blocker (doxazosin), clonidine.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Nguồn tham khảo</w:t>
      </w:r>
    </w:p>
    <w:p>
      <w:pPr>
        <w:pStyle w:val="ListBullet"/>
      </w:pPr>
      <w:r>
        <w:rPr>
          <w:rFonts w:ascii="Times New Roman" w:hAnsi="Times New Roman"/>
        </w:rPr>
        <w:t>ESC/ESH 2024 — Management of arterial hypertension. J Hypertens 2024.</w:t>
      </w:r>
    </w:p>
    <w:p>
      <w:pPr>
        <w:pStyle w:val="ListBullet"/>
      </w:pPr>
      <w:r>
        <w:rPr>
          <w:rFonts w:ascii="Times New Roman" w:hAnsi="Times New Roman"/>
        </w:rPr>
        <w:t>ACC/AHA 2017 — Guideline for High Blood Pressure in Adults. JACC 2018;71:e127-e248. PMID: 29146534.</w:t>
      </w:r>
    </w:p>
    <w:p>
      <w:pPr>
        <w:pStyle w:val="ListBullet"/>
      </w:pPr>
      <w:r>
        <w:rPr>
          <w:rFonts w:ascii="Times New Roman" w:hAnsi="Times New Roman"/>
        </w:rPr>
        <w:t>ISH 2020 — Global Hypertension Practice Guidelines. Hypertension 2020;75(6):1334-1357.</w:t>
      </w:r>
    </w:p>
    <w:p>
      <w:pPr>
        <w:pStyle w:val="ListBullet"/>
      </w:pPr>
      <w:r>
        <w:rPr>
          <w:rFonts w:ascii="Times New Roman" w:hAnsi="Times New Roman"/>
        </w:rPr>
        <w:t>SCORE2 / SCORE2-OP — ESC 2021 Cardiovascular Risk Prediction Models.</w:t>
      </w:r>
    </w:p>
    <w:p>
      <w:pPr>
        <w:pStyle w:val="ListBullet"/>
      </w:pPr>
      <w:r>
        <w:rPr>
          <w:rFonts w:ascii="Times New Roman" w:hAnsi="Times New Roman"/>
        </w:rPr>
        <w:t>VNHA — Khuyến cáo của Phân hội Tăng huyết áp Việt Nam về chẩn đoán và điều trị THA.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