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b w:val="0"/>
        </w:rPr>
        <w:t>HƯỚNG DẪN SỬ DỤNG &amp; CHỈNH LIỀU CÁC THUỐC ĐIỀU TRỊ SUY TIM MẠN</w:t>
      </w:r>
    </w:p>
    <w:p>
      <w:pPr>
        <w:spacing w:after="40"/>
        <w:jc w:val="center"/>
      </w:pPr>
      <w:r>
        <w:rPr>
          <w:b w:val="0"/>
        </w:rPr>
        <w:t>Bai hoc y khoa - IM-22_Suy_tim - Phần 7</w:t>
      </w:r>
    </w:p>
    <w:p>
      <w:pPr>
        <w:spacing w:after="240"/>
        <w:jc w:val="center"/>
      </w:pPr>
      <w:r>
        <w:rPr>
          <w:b w:val="0"/>
        </w:rPr>
        <w:t>Chuyên khoa: Nội khoa — Tim mạch / Dược lý lâm sàng | Nguồn: AHA/ACC/HFSA 2022</w:t>
      </w:r>
    </w:p>
    <w:p>
      <w:pPr>
        <w:pStyle w:val="Heading1"/>
      </w:pPr>
      <w:r>
        <w:t>0. TỔNG QUAN — NGUYÊN TẮC SỬ DỤNG &amp; CHỈNH LIỀU</w:t>
      </w:r>
    </w:p>
    <w:p>
      <w:pPr>
        <w:spacing w:after="120"/>
      </w:pPr>
      <w:r>
        <w:rPr>
          <w:b/>
        </w:rPr>
        <w:t>Điều trị suy tim mạn tính (HFrEF mạn, LVEF ≤ 40%) hiện đại dựa trên "Tứ trụ GDMT" (Guideline-Directed Medical Therapy): ARNI/ACEi/ARB, Beta-blocker, MRA và SGLT2i.</w:t>
      </w:r>
    </w:p>
    <w:p>
      <w:pPr>
        <w:spacing w:after="120"/>
      </w:pPr>
      <w:r>
        <w:rPr>
          <w:b w:val="0"/>
        </w:rPr>
        <w:t>Mục tiêu: ức chế triệt để các con đường thần kinh thể dịch độc hại, đảo ngược tái cấu trúc thất trái, giảm nhập viện vì suy tim và kéo dài sống còn.</w:t>
      </w:r>
    </w:p>
    <w:p>
      <w:pPr>
        <w:spacing w:after="120"/>
      </w:pPr>
      <w:r>
        <w:rPr>
          <w:b/>
        </w:rPr>
        <w:t>Nguyên tắc vàng khi sử dụng &amp; chỉnh liều:</w:t>
      </w:r>
    </w:p>
    <w:p>
      <w:pPr>
        <w:pStyle w:val="ListBullet"/>
        <w:spacing w:after="60"/>
      </w:pPr>
      <w:r>
        <w:rPr>
          <w:b/>
        </w:rPr>
        <w:t>"Start low, go slow"</w:t>
      </w:r>
      <w:r>
        <w:rPr>
          <w:b w:val="0"/>
        </w:rPr>
        <w:t xml:space="preserve"> — khởi trị liều cực thấp, tăng liều chậm.</w:t>
      </w:r>
    </w:p>
    <w:p>
      <w:pPr>
        <w:pStyle w:val="ListBullet"/>
        <w:spacing w:after="60"/>
      </w:pPr>
      <w:r>
        <w:rPr>
          <w:b/>
        </w:rPr>
        <w:t>Khởi trị song song nhanh</w:t>
      </w:r>
      <w:r>
        <w:rPr>
          <w:b w:val="0"/>
        </w:rPr>
        <w:t xml:space="preserve"> (Rapid Parallel Initiation) — khởi trị đồng thời cả 4 trụ cột khi bệnh nhân ổn định, đạt liều mục tiêu trong 2-4 tuần.</w:t>
      </w:r>
    </w:p>
    <w:p>
      <w:pPr>
        <w:pStyle w:val="ListBullet"/>
        <w:spacing w:after="60"/>
      </w:pPr>
      <w:r>
        <w:rPr>
          <w:b/>
        </w:rPr>
        <w:t>Theo dõi sát chức năng thận và Kali máu</w:t>
      </w:r>
      <w:r>
        <w:rPr>
          <w:b w:val="0"/>
        </w:rPr>
        <w:t xml:space="preserve"> theo khuyến nghị AHA/ACC/HFSA 2022.</w:t>
      </w:r>
    </w:p>
    <w:p>
      <w:pPr>
        <w:pStyle w:val="ListBullet"/>
        <w:spacing w:after="60"/>
      </w:pPr>
      <w:r>
        <w:rPr>
          <w:b/>
        </w:rPr>
        <w:t>KHÔNG ngừng thuốc GDMT vội vã</w:t>
      </w:r>
      <w:r>
        <w:rPr>
          <w:b w:val="0"/>
        </w:rPr>
        <w:t xml:space="preserve"> khi gặp tác dụng phụ nhẹ (hạ huyết áp không triệu chứng, kidney dip) vì sẽ tước đi cơ hội sống của bệnh nhân.</w:t>
      </w:r>
    </w:p>
    <w:p>
      <w:pPr>
        <w:pStyle w:val="Heading1"/>
      </w:pPr>
      <w:r>
        <w:t>1. BẢNG LIỀU 4 TRỤ CỘT GDMT (STARTING → TARGET DOSE)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F3A5F"/>
          </w:tcPr>
          <w:p>
            <w:r/>
            <w:r>
              <w:rPr>
                <w:b/>
                <w:color w:val="FFFFFF"/>
                <w:sz w:val="20"/>
              </w:rPr>
              <w:t>Nhóm thuốc / Tên thuốc</w:t>
            </w:r>
          </w:p>
        </w:tc>
        <w:tc>
          <w:tcPr>
            <w:tcW w:type="dxa" w:w="3024"/>
            <w:shd w:val="clear" w:color="auto" w:fill="1F3A5F"/>
          </w:tcPr>
          <w:p>
            <w:r/>
            <w:r>
              <w:rPr>
                <w:b/>
                <w:color w:val="FFFFFF"/>
                <w:sz w:val="20"/>
              </w:rPr>
              <w:t>Liều khởi đầu</w:t>
            </w:r>
          </w:p>
        </w:tc>
        <w:tc>
          <w:tcPr>
            <w:tcW w:type="dxa" w:w="3024"/>
            <w:shd w:val="clear" w:color="auto" w:fill="1F3A5F"/>
          </w:tcPr>
          <w:p>
            <w:r/>
            <w:r>
              <w:rPr>
                <w:b/>
                <w:color w:val="FFFFFF"/>
                <w:sz w:val="20"/>
              </w:rPr>
              <w:t>Liều mục tiêu</w:t>
            </w:r>
          </w:p>
        </w:tc>
      </w:tr>
      <w:tr>
        <w:tc>
          <w:tcPr>
            <w:tcW w:type="dxa" w:w="3024"/>
          </w:tcPr>
          <w:p>
            <w:r/>
            <w:r>
              <w:rPr>
                <w:sz w:val="20"/>
              </w:rPr>
              <w:t>Sacubitril/Valsartan (ARNI)</w:t>
            </w:r>
          </w:p>
        </w:tc>
        <w:tc>
          <w:tcPr>
            <w:tcW w:type="dxa" w:w="3024"/>
          </w:tcPr>
          <w:p>
            <w:r/>
            <w:r>
              <w:rPr>
                <w:sz w:val="20"/>
              </w:rPr>
              <w:t>24/26 mg (50mg) x2/ngày hoặc 49/51 mg (100mg) x2/ngày</w:t>
            </w:r>
          </w:p>
        </w:tc>
        <w:tc>
          <w:tcPr>
            <w:tcW w:type="dxa" w:w="3024"/>
          </w:tcPr>
          <w:p>
            <w:r/>
            <w:r>
              <w:rPr>
                <w:sz w:val="20"/>
              </w:rPr>
              <w:t>97/103 mg (200mg) x2/ngày</w:t>
            </w:r>
          </w:p>
        </w:tc>
      </w:tr>
      <w:tr>
        <w:tc>
          <w:tcPr>
            <w:tcW w:type="dxa" w:w="3024"/>
          </w:tcPr>
          <w:p>
            <w:r/>
            <w:r>
              <w:rPr>
                <w:sz w:val="20"/>
              </w:rPr>
              <w:t>Enalapril (ACEi)</w:t>
            </w:r>
          </w:p>
        </w:tc>
        <w:tc>
          <w:tcPr>
            <w:tcW w:type="dxa" w:w="3024"/>
          </w:tcPr>
          <w:p>
            <w:r/>
            <w:r>
              <w:rPr>
                <w:sz w:val="20"/>
              </w:rPr>
              <w:t>2.5 mg x2/ngày</w:t>
            </w:r>
          </w:p>
        </w:tc>
        <w:tc>
          <w:tcPr>
            <w:tcW w:type="dxa" w:w="3024"/>
          </w:tcPr>
          <w:p>
            <w:r/>
            <w:r>
              <w:rPr>
                <w:sz w:val="20"/>
              </w:rPr>
              <w:t>10-20 mg x2/ngày</w:t>
            </w:r>
          </w:p>
        </w:tc>
      </w:tr>
      <w:tr>
        <w:tc>
          <w:tcPr>
            <w:tcW w:type="dxa" w:w="3024"/>
          </w:tcPr>
          <w:p>
            <w:r/>
            <w:r>
              <w:rPr>
                <w:sz w:val="20"/>
              </w:rPr>
              <w:t>Lisinopril (ACEi)</w:t>
            </w:r>
          </w:p>
        </w:tc>
        <w:tc>
          <w:tcPr>
            <w:tcW w:type="dxa" w:w="3024"/>
          </w:tcPr>
          <w:p>
            <w:r/>
            <w:r>
              <w:rPr>
                <w:sz w:val="20"/>
              </w:rPr>
              <w:t>2.5-5 mg x1/ngày</w:t>
            </w:r>
          </w:p>
        </w:tc>
        <w:tc>
          <w:tcPr>
            <w:tcW w:type="dxa" w:w="3024"/>
          </w:tcPr>
          <w:p>
            <w:r/>
            <w:r>
              <w:rPr>
                <w:sz w:val="20"/>
              </w:rPr>
              <w:t>20-40 mg x1/ngày</w:t>
            </w:r>
          </w:p>
        </w:tc>
      </w:tr>
      <w:tr>
        <w:tc>
          <w:tcPr>
            <w:tcW w:type="dxa" w:w="3024"/>
          </w:tcPr>
          <w:p>
            <w:r/>
            <w:r>
              <w:rPr>
                <w:sz w:val="20"/>
              </w:rPr>
              <w:t>Valsartan (ARB)</w:t>
            </w:r>
          </w:p>
        </w:tc>
        <w:tc>
          <w:tcPr>
            <w:tcW w:type="dxa" w:w="3024"/>
          </w:tcPr>
          <w:p>
            <w:r/>
            <w:r>
              <w:rPr>
                <w:sz w:val="20"/>
              </w:rPr>
              <w:t>40 mg x2/ngày</w:t>
            </w:r>
          </w:p>
        </w:tc>
        <w:tc>
          <w:tcPr>
            <w:tcW w:type="dxa" w:w="3024"/>
          </w:tcPr>
          <w:p>
            <w:r/>
            <w:r>
              <w:rPr>
                <w:sz w:val="20"/>
              </w:rPr>
              <w:t>160 mg x2/ngày</w:t>
            </w:r>
          </w:p>
        </w:tc>
      </w:tr>
      <w:tr>
        <w:tc>
          <w:tcPr>
            <w:tcW w:type="dxa" w:w="3024"/>
          </w:tcPr>
          <w:p>
            <w:r/>
            <w:r>
              <w:rPr>
                <w:sz w:val="20"/>
              </w:rPr>
              <w:t>Candesartan (ARB)</w:t>
            </w:r>
          </w:p>
        </w:tc>
        <w:tc>
          <w:tcPr>
            <w:tcW w:type="dxa" w:w="3024"/>
          </w:tcPr>
          <w:p>
            <w:r/>
            <w:r>
              <w:rPr>
                <w:sz w:val="20"/>
              </w:rPr>
              <w:t>4 mg x1/ngày</w:t>
            </w:r>
          </w:p>
        </w:tc>
        <w:tc>
          <w:tcPr>
            <w:tcW w:type="dxa" w:w="3024"/>
          </w:tcPr>
          <w:p>
            <w:r/>
            <w:r>
              <w:rPr>
                <w:sz w:val="20"/>
              </w:rPr>
              <w:t>32 mg x1/ngày</w:t>
            </w:r>
          </w:p>
        </w:tc>
      </w:tr>
      <w:tr>
        <w:tc>
          <w:tcPr>
            <w:tcW w:type="dxa" w:w="3024"/>
          </w:tcPr>
          <w:p>
            <w:r/>
            <w:r>
              <w:rPr>
                <w:sz w:val="20"/>
              </w:rPr>
              <w:t>Bisoprolol (β-blocker)</w:t>
            </w:r>
          </w:p>
        </w:tc>
        <w:tc>
          <w:tcPr>
            <w:tcW w:type="dxa" w:w="3024"/>
          </w:tcPr>
          <w:p>
            <w:r/>
            <w:r>
              <w:rPr>
                <w:sz w:val="20"/>
              </w:rPr>
              <w:t>1.25 mg x1/ngày</w:t>
            </w:r>
          </w:p>
        </w:tc>
        <w:tc>
          <w:tcPr>
            <w:tcW w:type="dxa" w:w="3024"/>
          </w:tcPr>
          <w:p>
            <w:r/>
            <w:r>
              <w:rPr>
                <w:sz w:val="20"/>
              </w:rPr>
              <w:t>10 mg x1/ngày</w:t>
            </w:r>
          </w:p>
        </w:tc>
      </w:tr>
      <w:tr>
        <w:tc>
          <w:tcPr>
            <w:tcW w:type="dxa" w:w="3024"/>
          </w:tcPr>
          <w:p>
            <w:r/>
            <w:r>
              <w:rPr>
                <w:sz w:val="20"/>
              </w:rPr>
              <w:t>Carvedilol (β-blocker)</w:t>
            </w:r>
          </w:p>
        </w:tc>
        <w:tc>
          <w:tcPr>
            <w:tcW w:type="dxa" w:w="3024"/>
          </w:tcPr>
          <w:p>
            <w:r/>
            <w:r>
              <w:rPr>
                <w:sz w:val="20"/>
              </w:rPr>
              <w:t>3.125 mg x2/ngày</w:t>
            </w:r>
          </w:p>
        </w:tc>
        <w:tc>
          <w:tcPr>
            <w:tcW w:type="dxa" w:w="3024"/>
          </w:tcPr>
          <w:p>
            <w:r/>
            <w:r>
              <w:rPr>
                <w:sz w:val="20"/>
              </w:rPr>
              <w:t>25 mg x2/ngày (50mg x2 nếu &gt;85kg)</w:t>
            </w:r>
          </w:p>
        </w:tc>
      </w:tr>
      <w:tr>
        <w:tc>
          <w:tcPr>
            <w:tcW w:type="dxa" w:w="3024"/>
          </w:tcPr>
          <w:p>
            <w:r/>
            <w:r>
              <w:rPr>
                <w:sz w:val="20"/>
              </w:rPr>
              <w:t>Metoprolol Succinate XL</w:t>
            </w:r>
          </w:p>
        </w:tc>
        <w:tc>
          <w:tcPr>
            <w:tcW w:type="dxa" w:w="3024"/>
          </w:tcPr>
          <w:p>
            <w:r/>
            <w:r>
              <w:rPr>
                <w:sz w:val="20"/>
              </w:rPr>
              <w:t>12.5-25 mg x1/ngày</w:t>
            </w:r>
          </w:p>
        </w:tc>
        <w:tc>
          <w:tcPr>
            <w:tcW w:type="dxa" w:w="3024"/>
          </w:tcPr>
          <w:p>
            <w:r/>
            <w:r>
              <w:rPr>
                <w:sz w:val="20"/>
              </w:rPr>
              <w:t>200 mg x1/ngày</w:t>
            </w:r>
          </w:p>
        </w:tc>
      </w:tr>
      <w:tr>
        <w:tc>
          <w:tcPr>
            <w:tcW w:type="dxa" w:w="3024"/>
          </w:tcPr>
          <w:p>
            <w:r/>
            <w:r>
              <w:rPr>
                <w:sz w:val="20"/>
              </w:rPr>
              <w:t>Spironolactone (MRA)</w:t>
            </w:r>
          </w:p>
        </w:tc>
        <w:tc>
          <w:tcPr>
            <w:tcW w:type="dxa" w:w="3024"/>
          </w:tcPr>
          <w:p>
            <w:r/>
            <w:r>
              <w:rPr>
                <w:sz w:val="20"/>
              </w:rPr>
              <w:t>12.5-25 mg x1/ngày</w:t>
            </w:r>
          </w:p>
        </w:tc>
        <w:tc>
          <w:tcPr>
            <w:tcW w:type="dxa" w:w="3024"/>
          </w:tcPr>
          <w:p>
            <w:r/>
            <w:r>
              <w:rPr>
                <w:sz w:val="20"/>
              </w:rPr>
              <w:t>25-50 mg x1/ngày</w:t>
            </w:r>
          </w:p>
        </w:tc>
      </w:tr>
      <w:tr>
        <w:tc>
          <w:tcPr>
            <w:tcW w:type="dxa" w:w="3024"/>
          </w:tcPr>
          <w:p>
            <w:r/>
            <w:r>
              <w:rPr>
                <w:sz w:val="20"/>
              </w:rPr>
              <w:t>Eplerenone (MRA)</w:t>
            </w:r>
          </w:p>
        </w:tc>
        <w:tc>
          <w:tcPr>
            <w:tcW w:type="dxa" w:w="3024"/>
          </w:tcPr>
          <w:p>
            <w:r/>
            <w:r>
              <w:rPr>
                <w:sz w:val="20"/>
              </w:rPr>
              <w:t>25 mg x1/ngày</w:t>
            </w:r>
          </w:p>
        </w:tc>
        <w:tc>
          <w:tcPr>
            <w:tcW w:type="dxa" w:w="3024"/>
          </w:tcPr>
          <w:p>
            <w:r/>
            <w:r>
              <w:rPr>
                <w:sz w:val="20"/>
              </w:rPr>
              <w:t>50 mg x1/ngày</w:t>
            </w:r>
          </w:p>
        </w:tc>
      </w:tr>
      <w:tr>
        <w:tc>
          <w:tcPr>
            <w:tcW w:type="dxa" w:w="3024"/>
          </w:tcPr>
          <w:p>
            <w:r/>
            <w:r>
              <w:rPr>
                <w:sz w:val="20"/>
              </w:rPr>
              <w:t>Dapagliflozin (SGLT2i)</w:t>
            </w:r>
          </w:p>
        </w:tc>
        <w:tc>
          <w:tcPr>
            <w:tcW w:type="dxa" w:w="3024"/>
          </w:tcPr>
          <w:p>
            <w:r/>
            <w:r>
              <w:rPr>
                <w:sz w:val="20"/>
              </w:rPr>
              <w:t>10 mg x1/ngày</w:t>
            </w:r>
          </w:p>
        </w:tc>
        <w:tc>
          <w:tcPr>
            <w:tcW w:type="dxa" w:w="3024"/>
          </w:tcPr>
          <w:p>
            <w:r/>
            <w:r>
              <w:rPr>
                <w:sz w:val="20"/>
              </w:rPr>
              <w:t>10 mg x1/ngày (Cố định)</w:t>
            </w:r>
          </w:p>
        </w:tc>
      </w:tr>
      <w:tr>
        <w:tc>
          <w:tcPr>
            <w:tcW w:type="dxa" w:w="3024"/>
          </w:tcPr>
          <w:p>
            <w:r/>
            <w:r>
              <w:rPr>
                <w:sz w:val="20"/>
              </w:rPr>
              <w:t>Empagliflozin (SGLT2i)</w:t>
            </w:r>
          </w:p>
        </w:tc>
        <w:tc>
          <w:tcPr>
            <w:tcW w:type="dxa" w:w="3024"/>
          </w:tcPr>
          <w:p>
            <w:r/>
            <w:r>
              <w:rPr>
                <w:sz w:val="20"/>
              </w:rPr>
              <w:t>10 mg x1/ngày</w:t>
            </w:r>
          </w:p>
        </w:tc>
        <w:tc>
          <w:tcPr>
            <w:tcW w:type="dxa" w:w="3024"/>
          </w:tcPr>
          <w:p>
            <w:r/>
            <w:r>
              <w:rPr>
                <w:sz w:val="20"/>
              </w:rPr>
              <w:t>10 mg x1/ngày (Cố định)</w:t>
            </w:r>
          </w:p>
        </w:tc>
      </w:tr>
    </w:tbl>
    <w:p>
      <w:pPr>
        <w:spacing w:after="80"/>
      </w:pPr>
      <w:r>
        <w:rPr>
          <w:b w:val="0"/>
        </w:rPr>
      </w:r>
    </w:p>
    <w:p>
      <w:pPr>
        <w:pStyle w:val="Heading2"/>
      </w:pPr>
      <w:r>
        <w:t>Điều kiện khởi trị an toàn</w:t>
      </w:r>
    </w:p>
    <w:p>
      <w:pPr>
        <w:pStyle w:val="ListBullet"/>
        <w:spacing w:after="60"/>
      </w:pPr>
      <w:r>
        <w:rPr>
          <w:b/>
        </w:rPr>
        <w:t xml:space="preserve">MRA: </w:t>
      </w:r>
      <w:r>
        <w:rPr>
          <w:b w:val="0"/>
        </w:rPr>
        <w:t>CHỈ khởi trị khi Kali máu &lt; 5.0 mmol/L và eGFR ≥ 30 mL/min/1.73m².</w:t>
      </w:r>
    </w:p>
    <w:p>
      <w:pPr>
        <w:pStyle w:val="ListBullet"/>
        <w:spacing w:after="60"/>
      </w:pPr>
      <w:r>
        <w:rPr>
          <w:b/>
        </w:rPr>
        <w:t xml:space="preserve">Beta-blocker: </w:t>
      </w:r>
      <w:r>
        <w:rPr>
          <w:b w:val="0"/>
        </w:rPr>
        <w:t>tuyệt đối KHÔNG khởi trị trong đợt suy tim mất bù cấp; bắt buộc đưa bệnh nhân về thể tích "khô" (euvolemic) trước.</w:t>
      </w:r>
    </w:p>
    <w:p>
      <w:pPr>
        <w:pStyle w:val="ListBullet"/>
        <w:spacing w:after="60"/>
      </w:pPr>
      <w:r>
        <w:rPr>
          <w:b/>
        </w:rPr>
        <w:t xml:space="preserve">ARNI: </w:t>
      </w:r>
      <w:r>
        <w:rPr>
          <w:b w:val="0"/>
        </w:rPr>
        <w:t>chống chỉ định dùng chung với ACEi; bắt buộc ngưng ACEi ≥ 36 giờ trước liều ARNI đầu.</w:t>
      </w:r>
    </w:p>
    <w:p>
      <w:pPr>
        <w:pStyle w:val="ListBullet"/>
        <w:spacing w:after="60"/>
      </w:pPr>
      <w:r>
        <w:rPr>
          <w:b/>
        </w:rPr>
        <w:t xml:space="preserve">SGLT2i: </w:t>
      </w:r>
      <w:r>
        <w:rPr>
          <w:b w:val="0"/>
        </w:rPr>
        <w:t>dùng được cho cả người có/không có đái tháo đường; không cần chuẩn độ, liều cố định.</w:t>
      </w:r>
    </w:p>
    <w:p>
      <w:pPr>
        <w:pStyle w:val="Heading1"/>
      </w:pPr>
      <w:r>
        <w:t>2. THUẬT TOÁN CHUẨN ĐỘ NHANH (RAPID TITRATION PROTOCOL)</w:t>
      </w:r>
    </w:p>
    <w:p>
      <w:pPr>
        <w:spacing w:after="120"/>
      </w:pPr>
      <w:r>
        <w:rPr>
          <w:b/>
        </w:rPr>
        <w:t xml:space="preserve">Chiến lược Khởi trị Song song Nhanh (Rapid Parallel Initiation Protocol): </w:t>
      </w:r>
    </w:p>
    <w:p>
      <w:pPr>
        <w:spacing w:after="120"/>
      </w:pPr>
      <w:r>
        <w:rPr>
          <w:b w:val="0"/>
        </w:rPr>
        <w:t>Khởi trị CẢ 4 TRỤ CỘT cùng lúc hoặc trong vài ngày ngay khi bệnh nhân ổn định ngoại trú hoặc trước khi xuất viện, sau đó chuẩn độ đạt liều mục tiêu trong vòng 2-4 tuần.</w:t>
      </w:r>
    </w:p>
    <w:p>
      <w:pPr>
        <w:pStyle w:val="Heading2"/>
      </w:pPr>
      <w:r>
        <w:t>Các mốc an toàn khi chuẩn độ</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Thuốc</w:t>
            </w:r>
          </w:p>
        </w:tc>
        <w:tc>
          <w:tcPr>
            <w:tcW w:type="dxa" w:w="4536"/>
            <w:shd w:val="clear" w:color="auto" w:fill="1F3A5F"/>
          </w:tcPr>
          <w:p>
            <w:r/>
            <w:r>
              <w:rPr>
                <w:b/>
                <w:color w:val="FFFFFF"/>
                <w:sz w:val="20"/>
              </w:rPr>
              <w:t>Mốc tăng liều</w:t>
            </w:r>
          </w:p>
        </w:tc>
      </w:tr>
      <w:tr>
        <w:tc>
          <w:tcPr>
            <w:tcW w:type="dxa" w:w="4536"/>
          </w:tcPr>
          <w:p>
            <w:r/>
            <w:r>
              <w:rPr>
                <w:sz w:val="20"/>
              </w:rPr>
              <w:t>Beta-blocker</w:t>
            </w:r>
          </w:p>
        </w:tc>
        <w:tc>
          <w:tcPr>
            <w:tcW w:type="dxa" w:w="4536"/>
          </w:tcPr>
          <w:p>
            <w:r/>
            <w:r>
              <w:rPr>
                <w:sz w:val="20"/>
              </w:rPr>
              <w:t>Tăng gấp đôi mỗi 2 tuần nếu HR ≥ 60 bpm và không sung huyết</w:t>
            </w:r>
          </w:p>
        </w:tc>
      </w:tr>
      <w:tr>
        <w:tc>
          <w:tcPr>
            <w:tcW w:type="dxa" w:w="4536"/>
          </w:tcPr>
          <w:p>
            <w:r/>
            <w:r>
              <w:rPr>
                <w:sz w:val="20"/>
              </w:rPr>
              <w:t>ARNI/ACEi</w:t>
            </w:r>
          </w:p>
        </w:tc>
        <w:tc>
          <w:tcPr>
            <w:tcW w:type="dxa" w:w="4536"/>
          </w:tcPr>
          <w:p>
            <w:r/>
            <w:r>
              <w:rPr>
                <w:sz w:val="20"/>
              </w:rPr>
              <w:t>Tăng gấp đôi mỗi 2-4 tuần nếu SBP ≥ 95 mmHg</w:t>
            </w:r>
          </w:p>
        </w:tc>
      </w:tr>
      <w:tr>
        <w:tc>
          <w:tcPr>
            <w:tcW w:type="dxa" w:w="4536"/>
          </w:tcPr>
          <w:p>
            <w:r/>
            <w:r>
              <w:rPr>
                <w:sz w:val="20"/>
              </w:rPr>
              <w:t>SGLT2i</w:t>
            </w:r>
          </w:p>
        </w:tc>
        <w:tc>
          <w:tcPr>
            <w:tcW w:type="dxa" w:w="4536"/>
          </w:tcPr>
          <w:p>
            <w:r/>
            <w:r>
              <w:rPr>
                <w:sz w:val="20"/>
              </w:rPr>
              <w:t>Liều cố định 10mg/ngày, không chuẩn độ</w:t>
            </w:r>
          </w:p>
        </w:tc>
      </w:tr>
      <w:tr>
        <w:tc>
          <w:tcPr>
            <w:tcW w:type="dxa" w:w="4536"/>
          </w:tcPr>
          <w:p>
            <w:r/>
            <w:r>
              <w:rPr>
                <w:sz w:val="20"/>
              </w:rPr>
              <w:t>K+ 5.0-5.5 mmol/L hoặc eGFR giảm &lt;30%</w:t>
            </w:r>
          </w:p>
        </w:tc>
        <w:tc>
          <w:tcPr>
            <w:tcW w:type="dxa" w:w="4536"/>
          </w:tcPr>
          <w:p>
            <w:r/>
            <w:r>
              <w:rPr>
                <w:sz w:val="20"/>
              </w:rPr>
              <w:t>Duy trì liều, theo dõi sát, KHÔNG ngưng thuốc</w:t>
            </w:r>
          </w:p>
        </w:tc>
      </w:tr>
    </w:tbl>
    <w:p>
      <w:pPr>
        <w:spacing w:after="80"/>
      </w:pPr>
      <w:r>
        <w:rPr>
          <w:b w:val="0"/>
        </w:rPr>
      </w:r>
    </w:p>
    <w:p>
      <w:pPr>
        <w:pStyle w:val="Heading1"/>
      </w:pPr>
      <w:r>
        <w:t>3. THUỐC LỢI TIỂU &amp; KHÁNG LỢI TIỂU</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F3A5F"/>
          </w:tcPr>
          <w:p>
            <w:r/>
            <w:r>
              <w:rPr>
                <w:b/>
                <w:color w:val="FFFFFF"/>
                <w:sz w:val="20"/>
              </w:rPr>
              <w:t>Nhóm thuốc / Tên thuốc</w:t>
            </w:r>
          </w:p>
        </w:tc>
        <w:tc>
          <w:tcPr>
            <w:tcW w:type="dxa" w:w="3024"/>
            <w:shd w:val="clear" w:color="auto" w:fill="1F3A5F"/>
          </w:tcPr>
          <w:p>
            <w:r/>
            <w:r>
              <w:rPr>
                <w:b/>
                <w:color w:val="FFFFFF"/>
                <w:sz w:val="20"/>
              </w:rPr>
              <w:t>Vị trí tác dụng</w:t>
            </w:r>
          </w:p>
        </w:tc>
        <w:tc>
          <w:tcPr>
            <w:tcW w:type="dxa" w:w="3024"/>
            <w:shd w:val="clear" w:color="auto" w:fill="1F3A5F"/>
          </w:tcPr>
          <w:p>
            <w:r/>
            <w:r>
              <w:rPr>
                <w:b/>
                <w:color w:val="FFFFFF"/>
                <w:sz w:val="20"/>
              </w:rPr>
              <w:t>Liều điều trị thông thường</w:t>
            </w:r>
          </w:p>
        </w:tc>
      </w:tr>
      <w:tr>
        <w:tc>
          <w:tcPr>
            <w:tcW w:type="dxa" w:w="3024"/>
          </w:tcPr>
          <w:p>
            <w:r/>
            <w:r>
              <w:rPr>
                <w:sz w:val="20"/>
              </w:rPr>
              <w:t>Furosemide (Lợi tiểu quai)</w:t>
            </w:r>
          </w:p>
        </w:tc>
        <w:tc>
          <w:tcPr>
            <w:tcW w:type="dxa" w:w="3024"/>
          </w:tcPr>
          <w:p>
            <w:r/>
            <w:r>
              <w:rPr>
                <w:sz w:val="20"/>
              </w:rPr>
              <w:t>Quai Henle (ức chế nkcc2)</w:t>
            </w:r>
          </w:p>
        </w:tc>
        <w:tc>
          <w:tcPr>
            <w:tcW w:type="dxa" w:w="3024"/>
          </w:tcPr>
          <w:p>
            <w:r/>
            <w:r>
              <w:rPr>
                <w:sz w:val="20"/>
              </w:rPr>
              <w:t>20-240 mg/ngày (uống hoặc IV)</w:t>
            </w:r>
          </w:p>
        </w:tc>
      </w:tr>
      <w:tr>
        <w:tc>
          <w:tcPr>
            <w:tcW w:type="dxa" w:w="3024"/>
          </w:tcPr>
          <w:p>
            <w:r/>
            <w:r>
              <w:rPr>
                <w:sz w:val="20"/>
              </w:rPr>
              <w:t>Torsemide (Lợi tiểu quai)</w:t>
            </w:r>
          </w:p>
        </w:tc>
        <w:tc>
          <w:tcPr>
            <w:tcW w:type="dxa" w:w="3024"/>
          </w:tcPr>
          <w:p>
            <w:r/>
            <w:r>
              <w:rPr>
                <w:sz w:val="20"/>
              </w:rPr>
              <w:t>Quai Henle (ức chế nkcc2)</w:t>
            </w:r>
          </w:p>
        </w:tc>
        <w:tc>
          <w:tcPr>
            <w:tcW w:type="dxa" w:w="3024"/>
          </w:tcPr>
          <w:p>
            <w:r/>
            <w:r>
              <w:rPr>
                <w:sz w:val="20"/>
              </w:rPr>
              <w:t>10-100 mg/ngày (uống)</w:t>
            </w:r>
          </w:p>
        </w:tc>
      </w:tr>
      <w:tr>
        <w:tc>
          <w:tcPr>
            <w:tcW w:type="dxa" w:w="3024"/>
          </w:tcPr>
          <w:p>
            <w:r/>
            <w:r>
              <w:rPr>
                <w:sz w:val="20"/>
              </w:rPr>
              <w:t>Metolazone (Thiazide-like)</w:t>
            </w:r>
          </w:p>
        </w:tc>
        <w:tc>
          <w:tcPr>
            <w:tcW w:type="dxa" w:w="3024"/>
          </w:tcPr>
          <w:p>
            <w:r/>
            <w:r>
              <w:rPr>
                <w:sz w:val="20"/>
              </w:rPr>
              <w:t>Ống lượn xa (ức chế NCCT)</w:t>
            </w:r>
          </w:p>
        </w:tc>
        <w:tc>
          <w:tcPr>
            <w:tcW w:type="dxa" w:w="3024"/>
          </w:tcPr>
          <w:p>
            <w:r/>
            <w:r>
              <w:rPr>
                <w:sz w:val="20"/>
              </w:rPr>
              <w:t>2.5-10 mg/ngày (uống 30p trước lợi tiểu quai)</w:t>
            </w:r>
          </w:p>
        </w:tc>
      </w:tr>
      <w:tr>
        <w:tc>
          <w:tcPr>
            <w:tcW w:type="dxa" w:w="3024"/>
          </w:tcPr>
          <w:p>
            <w:r/>
            <w:r>
              <w:rPr>
                <w:sz w:val="20"/>
              </w:rPr>
              <w:t>Hydrochlorothiazide</w:t>
            </w:r>
          </w:p>
        </w:tc>
        <w:tc>
          <w:tcPr>
            <w:tcW w:type="dxa" w:w="3024"/>
          </w:tcPr>
          <w:p>
            <w:r/>
            <w:r>
              <w:rPr>
                <w:sz w:val="20"/>
              </w:rPr>
              <w:t>Ống lượn xa (ức chế NCCT)</w:t>
            </w:r>
          </w:p>
        </w:tc>
        <w:tc>
          <w:tcPr>
            <w:tcW w:type="dxa" w:w="3024"/>
          </w:tcPr>
          <w:p>
            <w:r/>
            <w:r>
              <w:rPr>
                <w:sz w:val="20"/>
              </w:rPr>
              <w:t>25-50 mg x1-2 lần/ngày</w:t>
            </w:r>
          </w:p>
        </w:tc>
      </w:tr>
      <w:tr>
        <w:tc>
          <w:tcPr>
            <w:tcW w:type="dxa" w:w="3024"/>
          </w:tcPr>
          <w:p>
            <w:r/>
            <w:r>
              <w:rPr>
                <w:sz w:val="20"/>
              </w:rPr>
              <w:t>Acetazolamide</w:t>
            </w:r>
          </w:p>
        </w:tc>
        <w:tc>
          <w:tcPr>
            <w:tcW w:type="dxa" w:w="3024"/>
          </w:tcPr>
          <w:p>
            <w:r/>
            <w:r>
              <w:rPr>
                <w:sz w:val="20"/>
              </w:rPr>
              <w:t>Ống lượn gần (ức chế Carbonic Anhydrase)</w:t>
            </w:r>
          </w:p>
        </w:tc>
        <w:tc>
          <w:tcPr>
            <w:tcW w:type="dxa" w:w="3024"/>
          </w:tcPr>
          <w:p>
            <w:r/>
            <w:r>
              <w:rPr>
                <w:sz w:val="20"/>
              </w:rPr>
              <w:t>250-500 mg/ngày IV/uống</w:t>
            </w:r>
          </w:p>
        </w:tc>
      </w:tr>
    </w:tbl>
    <w:p>
      <w:pPr>
        <w:spacing w:after="80"/>
      </w:pPr>
      <w:r>
        <w:rPr>
          <w:b w:val="0"/>
        </w:rPr>
      </w:r>
    </w:p>
    <w:p>
      <w:pPr>
        <w:spacing w:after="120"/>
      </w:pPr>
      <w:r>
        <w:rPr>
          <w:b/>
        </w:rPr>
        <w:t>Nguyên tắc dùng lợi tiểu:</w:t>
      </w:r>
    </w:p>
    <w:p>
      <w:pPr>
        <w:pStyle w:val="ListBullet"/>
        <w:spacing w:after="60"/>
      </w:pPr>
      <w:r>
        <w:t>Lợi tiểu KHÔNG làm giảm tỷ lệ tử vong dài hạn — chỉ có Tứ trụ GDMT mới giảm tử vong.</w:t>
      </w:r>
    </w:p>
    <w:p>
      <w:pPr>
        <w:pStyle w:val="ListBullet"/>
        <w:spacing w:after="60"/>
      </w:pPr>
      <w:r>
        <w:t>Dùng liều lợi tiểu quai thấp nhất đủ duy trì thể tích đẳng thể (euvolemia).</w:t>
      </w:r>
    </w:p>
    <w:p>
      <w:pPr>
        <w:pStyle w:val="Heading2"/>
      </w:pPr>
      <w:r>
        <w:t>Kháng lợi tiểu quai &amp; Phong lập Nephron Tuần tự</w:t>
      </w:r>
    </w:p>
    <w:p>
      <w:pPr>
        <w:spacing w:after="120"/>
      </w:pPr>
      <w:r>
        <w:rPr>
          <w:b w:val="0"/>
        </w:rPr>
        <w:t>Kháng lợi tiểu: Natri/nước thải ra không đạt mục tiêu dù dùng liều lợi tiểu quai tối đa. 4 cơ chế chính:</w:t>
      </w:r>
    </w:p>
    <w:p>
      <w:pPr>
        <w:pStyle w:val="ListBullet"/>
        <w:spacing w:after="60"/>
      </w:pPr>
      <w:r>
        <w:rPr>
          <w:b/>
        </w:rPr>
        <w:t>Phì đại ống lượn xa</w:t>
      </w:r>
      <w:r>
        <w:rPr>
          <w:b w:val="0"/>
        </w:rPr>
        <w:t xml:space="preserve"> — tăng kênh NCCT tái hấp thu tới 90% Natri dội xuống.</w:t>
      </w:r>
    </w:p>
    <w:p>
      <w:pPr>
        <w:pStyle w:val="ListBullet"/>
        <w:spacing w:after="60"/>
      </w:pPr>
      <w:r>
        <w:rPr>
          <w:b/>
        </w:rPr>
        <w:t>Hiện tượng "Rebound" Natri</w:t>
      </w:r>
      <w:r>
        <w:rPr>
          <w:b w:val="0"/>
        </w:rPr>
        <w:t xml:space="preserve"> giữa các liều.</w:t>
      </w:r>
    </w:p>
    <w:p>
      <w:pPr>
        <w:pStyle w:val="ListBullet"/>
        <w:spacing w:after="60"/>
      </w:pPr>
      <w:r>
        <w:rPr>
          <w:b/>
        </w:rPr>
        <w:t>Giảm tưới máu thận &amp; giảm Albumin máu</w:t>
      </w:r>
      <w:r>
        <w:rPr>
          <w:b w:val="0"/>
        </w:rPr>
        <w:t xml:space="preserve"> (Furosemide gắn 95-98% Albumin).</w:t>
      </w:r>
    </w:p>
    <w:p>
      <w:pPr>
        <w:pStyle w:val="ListBullet"/>
        <w:spacing w:after="60"/>
      </w:pPr>
      <w:r>
        <w:rPr>
          <w:b/>
        </w:rPr>
        <w:t>Giảm hấp thu do phù niêm mạc ruột</w:t>
      </w:r>
      <w:r>
        <w:rPr>
          <w:b w:val="0"/>
        </w:rPr>
        <w:t xml:space="preserve"> (sinh khả dụng Furosemide uống 20-80%).</w:t>
      </w:r>
    </w:p>
    <w:p>
      <w:pPr>
        <w:spacing w:after="120"/>
      </w:pPr>
      <w:r>
        <w:rPr>
          <w:b/>
        </w:rPr>
        <w:t>Chiến lược Phong lập Nephron Tuần tự:</w:t>
      </w:r>
    </w:p>
    <w:p>
      <w:pPr>
        <w:spacing w:after="120"/>
      </w:pPr>
      <w:r>
        <w:rPr>
          <w:b w:val="0"/>
        </w:rPr>
        <w:t>Kết hợp lợi tiểu quai (nkcc2) với thuốc ức chế ống lượn xa (NCCT) hoặc ống lượn gần. Ví dụ: Cho Metolazone 2.5mg uống 30 phút trước Furosemide để ngăn tái hấp thu Natri bù trừ.</w:t>
      </w:r>
    </w:p>
    <w:p>
      <w:pPr>
        <w:pStyle w:val="Heading1"/>
      </w:pPr>
      <w:r>
        <w:t>4. THUỐC PHỐI HỢP NÂNG CAO &amp; THUỐC BỔ TRỢ</w:t>
      </w:r>
    </w:p>
    <w:p>
      <w:pPr>
        <w:pStyle w:val="Heading2"/>
      </w:pPr>
      <w:r>
        <w:t>4.1 Digoxin (Glycoside trợ tim)</w:t>
      </w:r>
    </w:p>
    <w:p>
      <w:pPr>
        <w:pStyle w:val="ListBullet"/>
        <w:spacing w:after="60"/>
      </w:pPr>
      <w:r>
        <w:rPr>
          <w:b w:val="0"/>
        </w:rPr>
        <w:t xml:space="preserve">Cơ chế: </w:t>
      </w:r>
      <w:r>
        <w:rPr>
          <w:b w:val="0"/>
        </w:rPr>
        <w:t>ức chế bơm Na+/K+-ATPase → tăng Ca2+ nội bào → tăng sức co bóp.</w:t>
      </w:r>
    </w:p>
    <w:p>
      <w:pPr>
        <w:pStyle w:val="ListBullet"/>
        <w:spacing w:after="60"/>
      </w:pPr>
      <w:r>
        <w:rPr>
          <w:b w:val="0"/>
        </w:rPr>
        <w:t xml:space="preserve">Bằng chứng (DIG): </w:t>
      </w:r>
      <w:r>
        <w:rPr>
          <w:b w:val="0"/>
        </w:rPr>
        <w:t>giảm 28% nhập viện vì suy tim; KHÔNG giảm tử vong chung.</w:t>
      </w:r>
    </w:p>
    <w:p>
      <w:pPr>
        <w:pStyle w:val="ListBullet"/>
        <w:spacing w:after="60"/>
      </w:pPr>
      <w:r>
        <w:rPr>
          <w:b/>
        </w:rPr>
        <w:t xml:space="preserve">Nồng độ mục tiêu: </w:t>
      </w:r>
      <w:r>
        <w:rPr>
          <w:b w:val="0"/>
        </w:rPr>
        <w:t>0.5-0.9 ng/mL. &gt; 1.2 ng/mL tăng nguy cơ tử vong do loạn nhịp mà không thêm lợi ích.</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Chỉnh liều Digoxin theo chức năng thận</w:t>
            </w:r>
          </w:p>
        </w:tc>
        <w:tc>
          <w:tcPr>
            <w:tcW w:type="dxa" w:w="4536"/>
            <w:shd w:val="clear" w:color="auto" w:fill="1F3A5F"/>
          </w:tcPr>
          <w:p>
            <w:r/>
            <w:r>
              <w:rPr>
                <w:b/>
                <w:color w:val="FFFFFF"/>
                <w:sz w:val="20"/>
              </w:rPr>
              <w:t>Liều</w:t>
            </w:r>
          </w:p>
        </w:tc>
      </w:tr>
      <w:tr>
        <w:tc>
          <w:tcPr>
            <w:tcW w:type="dxa" w:w="4536"/>
          </w:tcPr>
          <w:p>
            <w:r/>
            <w:r>
              <w:rPr>
                <w:sz w:val="20"/>
              </w:rPr>
              <w:t>eGFR 30-50 mL/min</w:t>
            </w:r>
          </w:p>
        </w:tc>
        <w:tc>
          <w:tcPr>
            <w:tcW w:type="dxa" w:w="4536"/>
          </w:tcPr>
          <w:p>
            <w:r/>
            <w:r>
              <w:rPr>
                <w:sz w:val="20"/>
              </w:rPr>
              <w:t>0.0625 mg/ngày (1/2 viên 0.25mg) hoặc 0.125mg cách ngày</w:t>
            </w:r>
          </w:p>
        </w:tc>
      </w:tr>
      <w:tr>
        <w:tc>
          <w:tcPr>
            <w:tcW w:type="dxa" w:w="4536"/>
          </w:tcPr>
          <w:p>
            <w:r/>
            <w:r>
              <w:rPr>
                <w:sz w:val="20"/>
              </w:rPr>
              <w:t>eGFR &lt; 30 mL/min hoặc &gt;75 tuổi, &lt;50kg</w:t>
            </w:r>
          </w:p>
        </w:tc>
        <w:tc>
          <w:tcPr>
            <w:tcW w:type="dxa" w:w="4536"/>
          </w:tcPr>
          <w:p>
            <w:r/>
            <w:r>
              <w:rPr>
                <w:sz w:val="20"/>
              </w:rPr>
              <w:t>0.0625 mg dùng 3 lần/tuần</w:t>
            </w:r>
          </w:p>
        </w:tc>
      </w:tr>
    </w:tbl>
    <w:p>
      <w:pPr>
        <w:spacing w:after="80"/>
      </w:pPr>
      <w:r>
        <w:rPr>
          <w:b w:val="0"/>
        </w:rPr>
      </w:r>
    </w:p>
    <w:p>
      <w:pPr>
        <w:pStyle w:val="ListBullet"/>
        <w:spacing w:after="60"/>
      </w:pPr>
      <w:r>
        <w:rPr>
          <w:b/>
        </w:rPr>
        <w:t xml:space="preserve">Độc tính: </w:t>
      </w:r>
      <w:r>
        <w:rPr>
          <w:b w:val="0"/>
        </w:rPr>
        <w:t>nguy hiểm khi hạ K+ máu đi kèm. Dùng Digoxin Immune Fab nếu loạn nhịp thất đe dọa tính mạng hoặc K+ &gt; 5.5 mmol/L do ngộ độc cấp.</w:t>
      </w:r>
    </w:p>
    <w:p>
      <w:pPr>
        <w:pStyle w:val="Heading2"/>
      </w:pPr>
      <w:r>
        <w:t>4.2 Ivabradine (Chẹn kênh If nút xoang)</w:t>
      </w:r>
    </w:p>
    <w:p>
      <w:pPr>
        <w:pStyle w:val="ListBullet"/>
        <w:spacing w:after="60"/>
      </w:pPr>
      <w:r>
        <w:t>Cơ chế: ức chế chọn lọc dòng If tại nút xoang → giảm nhịp KHÔNG giảm sức co bóp hay tụt huyết áp.</w:t>
      </w:r>
    </w:p>
    <w:p>
      <w:pPr>
        <w:pStyle w:val="ListBullet"/>
        <w:spacing w:after="60"/>
      </w:pPr>
      <w:r>
        <w:t>Bằng chứng (SHIFT): giảm 18% tử vong tim mạch hoặc nhập viện.</w:t>
      </w:r>
    </w:p>
    <w:p>
      <w:pPr>
        <w:pStyle w:val="ListBullet"/>
        <w:spacing w:after="60"/>
      </w:pPr>
      <w:r>
        <w:rPr>
          <w:b w:val="0"/>
        </w:rPr>
        <w:t xml:space="preserve">Chỉ định: </w:t>
      </w:r>
      <w:r>
        <w:rPr>
          <w:b w:val="0"/>
        </w:rPr>
        <w:t>HFrEF (LVEF ≤ 35%) NYHA II-IV, nhịp xoang, tần số tim lúc nghỉ ≥ 70 nhịp/phút dù đạt liều Beta-blocker tối đa dung nạp.</w:t>
      </w:r>
    </w:p>
    <w:p>
      <w:pPr>
        <w:pStyle w:val="Heading2"/>
      </w:pPr>
      <w:r>
        <w:t>4.3 Hydralazine - Isosorbide Dinitrate (H-ISDN)</w:t>
      </w:r>
    </w:p>
    <w:p>
      <w:pPr>
        <w:pStyle w:val="ListBullet"/>
        <w:spacing w:after="60"/>
      </w:pPr>
      <w:r>
        <w:t>Cơ chế: ISDN cung cấp NO giãn tĩnh mạch; Hydralazine giãn động mạch trực tiếp + chống oxy hóa.</w:t>
      </w:r>
    </w:p>
    <w:p>
      <w:pPr>
        <w:pStyle w:val="ListBullet"/>
        <w:spacing w:after="60"/>
      </w:pPr>
      <w:r>
        <w:t>Bằng chứng (A-HeFT): giảm 43% tử vong ở bệnh nhân HFrEF người da đen.</w:t>
      </w:r>
    </w:p>
    <w:p>
      <w:pPr>
        <w:pStyle w:val="ListBullet"/>
        <w:spacing w:after="60"/>
      </w:pPr>
      <w:r>
        <w:t>Chỉ định: HFrEF người da đen NYHA III-IV, hoặc chống chỉ định ARNI/ACEi/ARB do suy thận nặng/tăng K+.</w:t>
      </w:r>
    </w:p>
    <w:p>
      <w:pPr>
        <w:pStyle w:val="Heading2"/>
      </w:pPr>
      <w:r>
        <w:t>4.4 Vericiguat (Kích thích sGC)</w:t>
      </w:r>
    </w:p>
    <w:p>
      <w:pPr>
        <w:pStyle w:val="ListBullet"/>
        <w:spacing w:after="60"/>
      </w:pPr>
      <w:r>
        <w:t>Cơ chế: khôi phục con đường NO-sGC-cGMP, giảm độ cứng tâm thất, giảm xơ hóa, giãn động mạch.</w:t>
      </w:r>
    </w:p>
    <w:p>
      <w:pPr>
        <w:pStyle w:val="ListBullet"/>
        <w:spacing w:after="60"/>
      </w:pPr>
      <w:r>
        <w:t>Bằng chứng (VICTORIA): giảm tiêu chí gộp tử vong tim mạch hoặc nhập viện.</w:t>
      </w:r>
    </w:p>
    <w:p>
      <w:pPr>
        <w:pStyle w:val="ListBullet"/>
        <w:spacing w:after="60"/>
      </w:pPr>
      <w:r>
        <w:rPr>
          <w:b/>
        </w:rPr>
        <w:t xml:space="preserve">Chỉnh liều: </w:t>
      </w:r>
      <w:r>
        <w:rPr>
          <w:b w:val="0"/>
        </w:rPr>
        <w:t>khởi đầu 2.5 mg/ngày (uống cùng thức ăn). Tăng gấp đôi mỗi 2 tuần (5mg → 10mg/ngày). SBP ≥ 100 mmHg trước mỗi lần tăng liều.</w:t>
      </w:r>
    </w:p>
    <w:p>
      <w:pPr>
        <w:pStyle w:val="ListBullet"/>
        <w:spacing w:after="60"/>
      </w:pPr>
      <w:r>
        <w:rPr>
          <w:b/>
        </w:rPr>
        <w:t xml:space="preserve">Chống chỉ định: </w:t>
      </w:r>
      <w:r>
        <w:rPr>
          <w:b w:val="0"/>
        </w:rPr>
        <w:t>dùng chung với Riociguat hoặc PDE-5 inhibitor (Sildenafil, Tadalafil) do nguy cơ tụt huyết áp nặng.</w:t>
      </w:r>
    </w:p>
    <w:p>
      <w:pPr>
        <w:pStyle w:val="Heading2"/>
      </w:pPr>
      <w:r>
        <w:t>4.5 Bù sắt đường tĩnh mạch (IV Ferric Carboxymaltose)</w:t>
      </w:r>
    </w:p>
    <w:p>
      <w:pPr>
        <w:pStyle w:val="ListBullet"/>
        <w:spacing w:after="60"/>
      </w:pPr>
      <w:r>
        <w:t>Chỉ định: thiếu sắt gặp ở 50% bệnh nhân HFrEF.</w:t>
      </w:r>
    </w:p>
    <w:p>
      <w:pPr>
        <w:pStyle w:val="ListBullet"/>
        <w:spacing w:after="60"/>
      </w:pPr>
      <w:r>
        <w:rPr>
          <w:b w:val="0"/>
        </w:rPr>
        <w:t xml:space="preserve">Tiêu chuẩn thiếu sắt: </w:t>
      </w:r>
      <w:r>
        <w:rPr>
          <w:b w:val="0"/>
        </w:rPr>
        <w:t>Ferritin &lt; 100 µg/L, HOẶC Ferritin 100-299 µg/L KÈM TSAT &lt; 20%.</w:t>
      </w:r>
    </w:p>
    <w:p>
      <w:pPr>
        <w:pStyle w:val="ListBullet"/>
        <w:spacing w:after="60"/>
      </w:pPr>
      <w:r>
        <w:t>Bằng chứng (AFFIRM-AHF &amp; IRONMAN): bù sắt IV cải thiện triệu chứng, QoL, giảm nhập viện.</w:t>
      </w:r>
    </w:p>
    <w:p>
      <w:pPr>
        <w:pStyle w:val="ListBullet"/>
        <w:spacing w:after="60"/>
      </w:pPr>
      <w:r>
        <w:rPr>
          <w:b/>
        </w:rPr>
        <w:t xml:space="preserve">Lưu ý: </w:t>
      </w:r>
      <w:r>
        <w:rPr>
          <w:b w:val="0"/>
        </w:rPr>
        <w:t>sắt uống KHÔNG hiệu quả do Hepcidin tăng cao. Bắt buộc bù Sắt đường TĨNH MẠCH.</w:t>
      </w:r>
    </w:p>
    <w:p>
      <w:pPr>
        <w:pStyle w:val="Heading1"/>
      </w:pPr>
      <w:r>
        <w:t>5. XỬ TRÍ TÁC DỤNG PHỤ KHI CHỈNH LIỀU</w:t>
      </w:r>
    </w:p>
    <w:p>
      <w:pPr>
        <w:pStyle w:val="Heading2"/>
      </w:pPr>
      <w:r>
        <w:t>5.1 Tụt huyết áp (Hypotension)</w:t>
      </w:r>
    </w:p>
    <w:p>
      <w:pPr>
        <w:pStyle w:val="ListBullet"/>
        <w:spacing w:after="60"/>
      </w:pPr>
      <w:r>
        <w:rPr>
          <w:b/>
        </w:rPr>
        <w:t xml:space="preserve">Không triệu chứng (SBP 85-95 mmHg, tỉnh táo, tưới máu tốt): </w:t>
      </w:r>
      <w:r>
        <w:rPr>
          <w:b w:val="0"/>
        </w:rPr>
        <w:t>TIẾP TỤC DUY TRÌ LIỀU, KHÔNG GIẢM LIỀU.</w:t>
      </w:r>
    </w:p>
    <w:p>
      <w:pPr>
        <w:spacing w:after="120"/>
      </w:pPr>
      <w:r>
        <w:rPr>
          <w:b/>
        </w:rPr>
        <w:t>Có triệu chứng (hoa mắt, choáng váng, SBP &lt; 90 mmHg) — Plan B:</w:t>
      </w:r>
    </w:p>
    <w:p>
      <w:pPr>
        <w:pStyle w:val="ListBullet"/>
        <w:spacing w:after="60"/>
      </w:pPr>
      <w:r>
        <w:t>1. Nếu không còn sung huyết → giảm/ngưng lợi tiểu quai.</w:t>
      </w:r>
    </w:p>
    <w:p>
      <w:pPr>
        <w:pStyle w:val="ListBullet"/>
        <w:spacing w:after="60"/>
      </w:pPr>
      <w:r>
        <w:t>2. Rút thuốc hạ áp ngoài GDMT (Amlodipine, Nitrates, Doxazosin).</w:t>
      </w:r>
    </w:p>
    <w:p>
      <w:pPr>
        <w:pStyle w:val="ListBullet"/>
        <w:spacing w:after="60"/>
      </w:pPr>
      <w:r>
        <w:t>3. Tách giờ uống: ARNI/ACEi sáng, Beta-blocker tối.</w:t>
      </w:r>
    </w:p>
    <w:p>
      <w:pPr>
        <w:pStyle w:val="ListBullet"/>
        <w:spacing w:after="60"/>
      </w:pPr>
      <w:r>
        <w:t>4. Nếu vẫn triệu chứng: giảm ARNI/ACEi trước, quyết giữ Beta-blocker và SGLT2i.</w:t>
      </w:r>
    </w:p>
    <w:p>
      <w:pPr>
        <w:pStyle w:val="Heading2"/>
      </w:pPr>
      <w:r>
        <w:t>5.2 Tăng Kali máu (Hyperkalemia)</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color="auto" w:fill="1F3A5F"/>
          </w:tcPr>
          <w:p>
            <w:r/>
            <w:r>
              <w:rPr>
                <w:b/>
                <w:color w:val="FFFFFF"/>
                <w:sz w:val="20"/>
              </w:rPr>
              <w:t>Mức K+</w:t>
            </w:r>
          </w:p>
        </w:tc>
        <w:tc>
          <w:tcPr>
            <w:tcW w:type="dxa" w:w="4536"/>
            <w:shd w:val="clear" w:color="auto" w:fill="1F3A5F"/>
          </w:tcPr>
          <w:p>
            <w:r/>
            <w:r>
              <w:rPr>
                <w:b/>
                <w:color w:val="FFFFFF"/>
                <w:sz w:val="20"/>
              </w:rPr>
              <w:t>Xử trí</w:t>
            </w:r>
          </w:p>
        </w:tc>
      </w:tr>
      <w:tr>
        <w:tc>
          <w:tcPr>
            <w:tcW w:type="dxa" w:w="4536"/>
          </w:tcPr>
          <w:p>
            <w:r/>
            <w:r>
              <w:rPr>
                <w:sz w:val="20"/>
              </w:rPr>
              <w:t>&lt; 5.0 mmol/L</w:t>
            </w:r>
          </w:p>
        </w:tc>
        <w:tc>
          <w:tcPr>
            <w:tcW w:type="dxa" w:w="4536"/>
          </w:tcPr>
          <w:p>
            <w:r/>
            <w:r>
              <w:rPr>
                <w:sz w:val="20"/>
              </w:rPr>
              <w:t>An toàn, tiếp tục chuẩn độ GDMT</w:t>
            </w:r>
          </w:p>
        </w:tc>
      </w:tr>
      <w:tr>
        <w:tc>
          <w:tcPr>
            <w:tcW w:type="dxa" w:w="4536"/>
          </w:tcPr>
          <w:p>
            <w:r/>
            <w:r>
              <w:rPr>
                <w:sz w:val="20"/>
              </w:rPr>
              <w:t>5.0-5.5 mmol/L</w:t>
            </w:r>
          </w:p>
        </w:tc>
        <w:tc>
          <w:tcPr>
            <w:tcW w:type="dxa" w:w="4536"/>
          </w:tcPr>
          <w:p>
            <w:r/>
            <w:r>
              <w:rPr>
                <w:sz w:val="20"/>
              </w:rPr>
              <w:t>Tiếp tục liều GDMT, theo dõi K+ lại sau 1-2 tuần</w:t>
            </w:r>
          </w:p>
        </w:tc>
      </w:tr>
      <w:tr>
        <w:tc>
          <w:tcPr>
            <w:tcW w:type="dxa" w:w="4536"/>
          </w:tcPr>
          <w:p>
            <w:r/>
            <w:r>
              <w:rPr>
                <w:sz w:val="20"/>
              </w:rPr>
              <w:t>5.5-6.0 mmol/L</w:t>
            </w:r>
          </w:p>
        </w:tc>
        <w:tc>
          <w:tcPr>
            <w:tcW w:type="dxa" w:w="4536"/>
          </w:tcPr>
          <w:p>
            <w:r/>
            <w:r>
              <w:rPr>
                <w:sz w:val="20"/>
              </w:rPr>
              <w:t>Giảm 50% liều MRA (hoặc giảm ARNI). Dùng Patiromer 8.4g/ngày hoặc SZC 5-10g/ngày. KHÔNG ngưng MRA/ARNI</w:t>
            </w:r>
          </w:p>
        </w:tc>
      </w:tr>
      <w:tr>
        <w:tc>
          <w:tcPr>
            <w:tcW w:type="dxa" w:w="4536"/>
          </w:tcPr>
          <w:p>
            <w:r/>
            <w:r>
              <w:rPr>
                <w:sz w:val="20"/>
              </w:rPr>
              <w:t>&gt; 6.0 mmol/L</w:t>
            </w:r>
          </w:p>
        </w:tc>
        <w:tc>
          <w:tcPr>
            <w:tcW w:type="dxa" w:w="4536"/>
          </w:tcPr>
          <w:p>
            <w:r/>
            <w:r>
              <w:rPr>
                <w:sz w:val="20"/>
              </w:rPr>
              <w:t>Tạm ngưng MRA và ARNI/ACEi. Điều trị tăng K+ cấp tính</w:t>
            </w:r>
          </w:p>
        </w:tc>
      </w:tr>
    </w:tbl>
    <w:p>
      <w:pPr>
        <w:spacing w:after="80"/>
      </w:pPr>
      <w:r>
        <w:rPr>
          <w:b w:val="0"/>
        </w:rPr>
      </w:r>
    </w:p>
    <w:p>
      <w:pPr>
        <w:pStyle w:val="Heading2"/>
      </w:pPr>
      <w:r>
        <w:t>5.3 Suy giảm chức năng thận ("Kidney Dip")</w:t>
      </w:r>
    </w:p>
    <w:p>
      <w:pPr>
        <w:pStyle w:val="ListBullet"/>
        <w:spacing w:after="60"/>
      </w:pPr>
      <w:r>
        <w:rPr>
          <w:b/>
        </w:rPr>
        <w:t xml:space="preserve">Kidney dip sinh lý: </w:t>
      </w:r>
      <w:r>
        <w:rPr>
          <w:b w:val="0"/>
        </w:rPr>
        <w:t>eGFR giảm nhẹ trong 1-2 tuần đầu khi khởi trị ARNI/ACEi/SGLT2i là đáp ứng dự đoán trước, KHÔNG phải AKI.</w:t>
      </w:r>
    </w:p>
    <w:p>
      <w:pPr>
        <w:pStyle w:val="ListBullet"/>
        <w:spacing w:after="60"/>
      </w:pPr>
      <w:r>
        <w:rPr>
          <w:b/>
        </w:rPr>
        <w:t xml:space="preserve">Creatinine tăng &lt; 30%: </w:t>
      </w:r>
      <w:r>
        <w:rPr>
          <w:b w:val="0"/>
        </w:rPr>
        <w:t>AN TOÀN, tiếp tục duy trì liều. Ổn định sau 4-6 tuần.</w:t>
      </w:r>
    </w:p>
    <w:p>
      <w:pPr>
        <w:pStyle w:val="ListBullet"/>
        <w:spacing w:after="60"/>
      </w:pPr>
      <w:r>
        <w:rPr>
          <w:b/>
        </w:rPr>
        <w:t xml:space="preserve">Creatinine tăng &gt; 30%: </w:t>
      </w:r>
      <w:r>
        <w:rPr>
          <w:b w:val="0"/>
        </w:rPr>
        <w:t>tầm soát mất nước, hẹp động mạch thận, NSAID.</w:t>
      </w:r>
    </w:p>
    <w:p>
      <w:pPr>
        <w:pStyle w:val="Heading2"/>
      </w:pPr>
      <w:r>
        <w:t>5.4 Ho khan &amp; Phù mạch do ACEi/ARNI</w:t>
      </w:r>
    </w:p>
    <w:p>
      <w:pPr>
        <w:pStyle w:val="ListBullet"/>
        <w:spacing w:after="60"/>
      </w:pPr>
      <w:r>
        <w:t>Ho khan do ACEi (5-15%): chuyển sang ARNI (hoặc ARB).</w:t>
      </w:r>
    </w:p>
    <w:p>
      <w:pPr>
        <w:pStyle w:val="ListBullet"/>
        <w:spacing w:after="60"/>
      </w:pPr>
      <w:r>
        <w:t>Phù mạch: ngừng ngay ACEi/ARNI, tuyệt đối không bao giờ dùng lại.</w:t>
      </w:r>
    </w:p>
    <w:p>
      <w:pPr>
        <w:spacing w:after="120"/>
      </w:pPr>
      <w:r>
        <w:rPr>
          <w:b/>
        </w:rPr>
        <w:t xml:space="preserve">🛑 QUY TẮC WASHOUT 36 GIỜ: </w:t>
      </w:r>
      <w:r>
        <w:rPr>
          <w:b w:val="0"/>
        </w:rPr>
        <w:t>chuyển từ ACEi sang ARNI phải ngưng ACEi ≥ 36 giờ trước liều ARNI đầu. Lý do: cả 2 ức chế giáng hóa Bradykinin → nếu dùng quá sớm gây phù mạch hoại tử tử vong do tắc nghẽn đường thở.</w:t>
      </w:r>
    </w:p>
    <w:p>
      <w:pPr>
        <w:pStyle w:val="Heading2"/>
      </w:pPr>
      <w:r>
        <w:t>5.5 Nhiễm toan ceton &amp; Nhiễm trùng sinh dục do SGLT2i</w:t>
      </w:r>
    </w:p>
    <w:p>
      <w:pPr>
        <w:pStyle w:val="ListBullet"/>
        <w:spacing w:after="60"/>
      </w:pPr>
      <w:r>
        <w:t>Euglycemic DKA: ngừng ngay SGLT2i, truyền dịch, truyền Insulin.</w:t>
      </w:r>
    </w:p>
    <w:p>
      <w:pPr>
        <w:pStyle w:val="ListBullet"/>
        <w:spacing w:after="60"/>
      </w:pPr>
      <w:r>
        <w:t>Sick-Day Protocol: tạm ngưng SGLT2i trước phẫu thuật lớn 3-4 ngày hoặc khi bệnh cấp tính nặng.</w:t>
      </w:r>
    </w:p>
    <w:p>
      <w:pPr>
        <w:pStyle w:val="Heading1"/>
      </w:pPr>
      <w:r>
        <w:t>6. THEO DÕI &amp; QUẢN LÝ DÀI HẠN</w:t>
      </w:r>
    </w:p>
    <w:p>
      <w:pPr>
        <w:pStyle w:val="Heading2"/>
      </w:pPr>
      <w:r>
        <w:t>6.1 Lịch trình theo dõi</w:t>
      </w:r>
    </w:p>
    <w:p>
      <w:pPr>
        <w:pStyle w:val="ListBullet"/>
        <w:spacing w:after="60"/>
      </w:pPr>
      <w:r>
        <w:rPr>
          <w:b/>
        </w:rPr>
        <w:t xml:space="preserve">Chuẩn độ: </w:t>
      </w:r>
      <w:r>
        <w:rPr>
          <w:b w:val="0"/>
        </w:rPr>
        <w:t>tái khám mỗi 1-2 tuần sau mỗi lần tăng liều. Xét nghiệm Creatinine/eGFR/K+ sau 7-14 ngày.</w:t>
      </w:r>
    </w:p>
    <w:p>
      <w:pPr>
        <w:pStyle w:val="ListBullet"/>
        <w:spacing w:after="60"/>
      </w:pPr>
      <w:r>
        <w:rPr>
          <w:b/>
        </w:rPr>
        <w:t xml:space="preserve">Duy trì: </w:t>
      </w:r>
      <w:r>
        <w:rPr>
          <w:b w:val="0"/>
        </w:rPr>
        <w:t>tái khám mỗi 1-3 tháng. Xét nghiệm mỗi 3-6 tháng.</w:t>
      </w:r>
    </w:p>
    <w:p>
      <w:pPr>
        <w:pStyle w:val="ListBullet"/>
        <w:spacing w:after="60"/>
      </w:pPr>
      <w:r>
        <w:rPr>
          <w:b/>
        </w:rPr>
        <w:t xml:space="preserve">Echo: </w:t>
      </w:r>
      <w:r>
        <w:rPr>
          <w:b w:val="0"/>
        </w:rPr>
        <w:t>đo lại LVEF sau 3-6 tháng. LVEF tăng từ ≤35% lên &gt;40% → HFimpEF, tiếp tục duy trì đủ Tứ trụ.</w:t>
      </w:r>
    </w:p>
    <w:p>
      <w:pPr>
        <w:pStyle w:val="Heading2"/>
      </w:pPr>
      <w:r>
        <w:t>6.2 Giáo dục bệnh nhân</w:t>
      </w:r>
    </w:p>
    <w:p>
      <w:pPr>
        <w:pStyle w:val="ListBullet"/>
        <w:spacing w:after="60"/>
      </w:pPr>
      <w:r>
        <w:rPr>
          <w:b/>
        </w:rPr>
        <w:t xml:space="preserve">Cân nặng mỗi sáng: </w:t>
      </w:r>
      <w:r>
        <w:rPr>
          <w:b w:val="0"/>
        </w:rPr>
        <w:t>tăng &gt; 1.5-2 kg trong 2 ngày liên tiếp, hoặc &gt; 2.5 kg trong 1 tuần → tự tăng 1 viên Furosemide 40mg trong 2-3 ngày, liên hệ bác sĩ.</w:t>
      </w:r>
    </w:p>
    <w:p>
      <w:pPr>
        <w:pStyle w:val="ListBullet"/>
        <w:spacing w:after="60"/>
      </w:pPr>
      <w:r>
        <w:rPr>
          <w:b/>
        </w:rPr>
        <w:t xml:space="preserve">Chế độ ăn: </w:t>
      </w:r>
      <w:r>
        <w:rPr>
          <w:b w:val="0"/>
        </w:rPr>
        <w:t>Natri &lt; 2g/ngày (&lt; 5g muối NaCl/ngày). Hạn chế dịch 1.5-2 lít/ngày chỉ khi suy tim nặng hoặc Na+ &lt; 130 mmol/L.</w:t>
      </w:r>
    </w:p>
    <w:p>
      <w:pPr>
        <w:pStyle w:val="Heading1"/>
      </w:pPr>
      <w:r>
        <w:t>7. TIPS &amp; SAI LẦM THƯỜNG GẶP</w:t>
      </w:r>
    </w:p>
    <w:p>
      <w:pPr>
        <w:pStyle w:val="Heading2"/>
      </w:pPr>
      <w:r>
        <w:t>7.1 13 Tips kê đơn</w:t>
      </w:r>
    </w:p>
    <w:p>
      <w:pPr>
        <w:pStyle w:val="ListBullet"/>
        <w:spacing w:after="60"/>
      </w:pPr>
      <w:r>
        <w:rPr>
          <w:b/>
        </w:rPr>
        <w:t xml:space="preserve">Tip 1: </w:t>
      </w:r>
      <w:r>
        <w:rPr>
          <w:b w:val="0"/>
        </w:rPr>
        <w:t>Khởi trị liều thấp CẢ 4 TRỤ CỘT cùng lúc trong tuần đầu, không đợi tuần tự.</w:t>
      </w:r>
    </w:p>
    <w:p>
      <w:pPr>
        <w:pStyle w:val="ListBullet"/>
        <w:spacing w:after="60"/>
      </w:pPr>
      <w:r>
        <w:rPr>
          <w:b/>
        </w:rPr>
        <w:t xml:space="preserve">Tip 2: </w:t>
      </w:r>
      <w:r>
        <w:rPr>
          <w:b w:val="0"/>
        </w:rPr>
        <w:t>Chuyển ACEi→ARNI luôn cách đủ 36 giờ từ viên ACEi cuối.</w:t>
      </w:r>
    </w:p>
    <w:p>
      <w:pPr>
        <w:pStyle w:val="ListBullet"/>
        <w:spacing w:after="60"/>
      </w:pPr>
      <w:r>
        <w:rPr>
          <w:b/>
        </w:rPr>
        <w:t xml:space="preserve">Tip 3: </w:t>
      </w:r>
      <w:r>
        <w:rPr>
          <w:b w:val="0"/>
        </w:rPr>
        <w:t>SGLT2i dễ khởi trị nhất (không cần chuẩn độ, ít hạ huyết áp).</w:t>
      </w:r>
    </w:p>
    <w:p>
      <w:pPr>
        <w:pStyle w:val="ListBullet"/>
        <w:spacing w:after="60"/>
      </w:pPr>
      <w:r>
        <w:rPr>
          <w:b/>
        </w:rPr>
        <w:t xml:space="preserve">Tip 4: </w:t>
      </w:r>
      <w:r>
        <w:rPr>
          <w:b w:val="0"/>
        </w:rPr>
        <w:t>SBP 90-95 mmHg không triệu chứng → giữ nguyên liều GDMT.</w:t>
      </w:r>
    </w:p>
    <w:p>
      <w:pPr>
        <w:pStyle w:val="ListBullet"/>
        <w:spacing w:after="60"/>
      </w:pPr>
      <w:r>
        <w:rPr>
          <w:b/>
        </w:rPr>
        <w:t xml:space="preserve">Tip 5: </w:t>
      </w:r>
      <w:r>
        <w:rPr>
          <w:b w:val="0"/>
        </w:rPr>
        <w:t>Creatinine tăng &lt; 30% sau ARNI/SGLT2i là dấu hiệu bảo vệ thận, đừng ngưng thuốc.</w:t>
      </w:r>
    </w:p>
    <w:p>
      <w:pPr>
        <w:pStyle w:val="ListBullet"/>
        <w:spacing w:after="60"/>
      </w:pPr>
      <w:r>
        <w:rPr>
          <w:b/>
        </w:rPr>
        <w:t xml:space="preserve">Tip 6: </w:t>
      </w:r>
      <w:r>
        <w:rPr>
          <w:b w:val="0"/>
        </w:rPr>
        <w:t>Chỉ dùng Bisoprolol/Carvedilol/Metoprolol XL. Không dùng Atenolol/Metoprolol tartrate cho HFrEF.</w:t>
      </w:r>
    </w:p>
    <w:p>
      <w:pPr>
        <w:pStyle w:val="ListBullet"/>
        <w:spacing w:after="60"/>
      </w:pPr>
      <w:r>
        <w:rPr>
          <w:b/>
        </w:rPr>
        <w:t xml:space="preserve">Tip 7: </w:t>
      </w:r>
      <w:r>
        <w:rPr>
          <w:b w:val="0"/>
        </w:rPr>
        <w:t>Không khởi trị Beta-blocker khi còn rale ẩm/phù nặng — phải đưa về "khô" trước.</w:t>
      </w:r>
    </w:p>
    <w:p>
      <w:pPr>
        <w:pStyle w:val="ListBullet"/>
        <w:spacing w:after="60"/>
      </w:pPr>
      <w:r>
        <w:rPr>
          <w:b/>
        </w:rPr>
        <w:t xml:space="preserve">Tip 8: </w:t>
      </w:r>
      <w:r>
        <w:rPr>
          <w:b w:val="0"/>
        </w:rPr>
        <w:t>K+ 5.6 mmol/L khi dùng Spironolactone → thêm Patiromer/SZC + giảm Spironolactone xuống 12.5mg thay vì cắt MRA.</w:t>
      </w:r>
    </w:p>
    <w:p>
      <w:pPr>
        <w:pStyle w:val="ListBullet"/>
        <w:spacing w:after="60"/>
      </w:pPr>
      <w:r>
        <w:rPr>
          <w:b/>
        </w:rPr>
        <w:t xml:space="preserve">Tip 9: </w:t>
      </w:r>
      <w:r>
        <w:rPr>
          <w:b w:val="0"/>
        </w:rPr>
        <w:t>Kháng lợi tiểu → Metolazone 2.5mg trước Furosemide 30 phút.</w:t>
      </w:r>
    </w:p>
    <w:p>
      <w:pPr>
        <w:pStyle w:val="ListBullet"/>
        <w:spacing w:after="60"/>
      </w:pPr>
      <w:r>
        <w:rPr>
          <w:b/>
        </w:rPr>
        <w:t xml:space="preserve">Tip 10: </w:t>
      </w:r>
      <w:r>
        <w:rPr>
          <w:b w:val="0"/>
        </w:rPr>
        <w:t>Luôn kiểm tra Ferritin/TSAT. Ferritin &lt; 100 µg/L → bù sắt TĨNH MẠCH, sắt uống vô dụng.</w:t>
      </w:r>
    </w:p>
    <w:p>
      <w:pPr>
        <w:pStyle w:val="ListBullet"/>
        <w:spacing w:after="60"/>
      </w:pPr>
      <w:r>
        <w:rPr>
          <w:b/>
        </w:rPr>
        <w:t xml:space="preserve">Tip 11: </w:t>
      </w:r>
      <w:r>
        <w:rPr>
          <w:b w:val="0"/>
        </w:rPr>
        <w:t>Cân mỗi sáng. Tăng 2kg/2 ngày = giữ nước cấp → thêm 1 viên lợi tiểu quai.</w:t>
      </w:r>
    </w:p>
    <w:p>
      <w:pPr>
        <w:pStyle w:val="ListBullet"/>
        <w:spacing w:after="60"/>
      </w:pPr>
      <w:r>
        <w:rPr>
          <w:b/>
        </w:rPr>
        <w:t xml:space="preserve">Tip 12: </w:t>
      </w:r>
      <w:r>
        <w:rPr>
          <w:b w:val="0"/>
        </w:rPr>
        <w:t>Cấm tuyệt đối NSAID (Ibuprofen, Meloxicam, Celecoxib) cho bệnh nhân suy tim.</w:t>
      </w:r>
    </w:p>
    <w:p>
      <w:pPr>
        <w:pStyle w:val="ListBullet"/>
        <w:spacing w:after="60"/>
      </w:pPr>
      <w:r>
        <w:rPr>
          <w:b/>
        </w:rPr>
        <w:t xml:space="preserve">Tip 13: </w:t>
      </w:r>
      <w:r>
        <w:rPr>
          <w:b w:val="0"/>
        </w:rPr>
        <w:t>LVEF hồi phục (HFimpEF) → vẫn uống đủ 4 thuốc cả đời; ngừng sẽ tái phát.</w:t>
      </w:r>
    </w:p>
    <w:p>
      <w:pPr>
        <w:pStyle w:val="Heading2"/>
      </w:pPr>
      <w:r>
        <w:t>7.2 Sai lầm phổ biến (Misconceptions)</w:t>
      </w:r>
    </w:p>
    <w:p>
      <w:pPr>
        <w:pStyle w:val="ListBullet"/>
        <w:spacing w:after="60"/>
      </w:pPr>
      <w:r>
        <w:rPr>
          <w:b w:val="0"/>
        </w:rPr>
        <w:t xml:space="preserve">⚠️ </w:t>
      </w:r>
      <w:r>
        <w:rPr>
          <w:b/>
        </w:rPr>
        <w:t>Nhầm lợi tiểu quai giảm tử vong</w:t>
      </w:r>
      <w:r>
        <w:rPr>
          <w:b w:val="0"/>
        </w:rPr>
        <w:t>: thực tế chỉ giảm triệu chứng, không giảm tử vong.</w:t>
      </w:r>
    </w:p>
    <w:p>
      <w:pPr>
        <w:pStyle w:val="ListBullet"/>
        <w:spacing w:after="60"/>
      </w:pPr>
      <w:r>
        <w:rPr>
          <w:b w:val="0"/>
        </w:rPr>
        <w:t xml:space="preserve">⚠️ </w:t>
      </w:r>
      <w:r>
        <w:rPr>
          <w:b/>
        </w:rPr>
        <w:t>Ngừng ARNI/ACEi khi Creatinine tăng 20%</w:t>
      </w:r>
      <w:r>
        <w:rPr>
          <w:b w:val="0"/>
        </w:rPr>
        <w:t>: tăng &lt; 30% là kidney dip sinh lý, không ngừng thuốc.</w:t>
      </w:r>
    </w:p>
    <w:p>
      <w:pPr>
        <w:pStyle w:val="ListBullet"/>
        <w:spacing w:after="60"/>
      </w:pPr>
      <w:r>
        <w:rPr>
          <w:b w:val="0"/>
        </w:rPr>
        <w:t xml:space="preserve">⚠️ </w:t>
      </w:r>
      <w:r>
        <w:rPr>
          <w:b/>
        </w:rPr>
        <w:t>Phối hợp ARNI + Enalapril</w:t>
      </w:r>
      <w:r>
        <w:rPr>
          <w:b w:val="0"/>
        </w:rPr>
        <w:t>: gây phù mạch hoại tử tử vong.</w:t>
      </w:r>
    </w:p>
    <w:p>
      <w:pPr>
        <w:pStyle w:val="ListBullet"/>
        <w:spacing w:after="60"/>
      </w:pPr>
      <w:r>
        <w:rPr>
          <w:b w:val="0"/>
        </w:rPr>
        <w:t xml:space="preserve">⚠️ </w:t>
      </w:r>
      <w:r>
        <w:rPr>
          <w:b/>
        </w:rPr>
        <w:t>SGLT2i chỉ dùng khi có đái tháo đường</w:t>
      </w:r>
      <w:r>
        <w:rPr>
          <w:b w:val="0"/>
        </w:rPr>
        <w:t>: thực tế giảm tử vong ở MỌI bệnh nhân HFrEF.</w:t>
      </w:r>
    </w:p>
    <w:p>
      <w:pPr>
        <w:pStyle w:val="ListBullet"/>
        <w:spacing w:after="60"/>
      </w:pPr>
      <w:r>
        <w:rPr>
          <w:b w:val="0"/>
        </w:rPr>
        <w:t xml:space="preserve">⚠️ </w:t>
      </w:r>
      <w:r>
        <w:rPr>
          <w:b/>
        </w:rPr>
        <w:t>Khởi trị Beta-blocker trong đợt mất bù cấp</w:t>
      </w:r>
      <w:r>
        <w:rPr>
          <w:b w:val="0"/>
        </w:rPr>
        <w:t>: ức chế co bóp cấp → tử vong.</w:t>
      </w:r>
    </w:p>
    <w:p>
      <w:pPr>
        <w:pStyle w:val="ListBullet"/>
        <w:spacing w:after="60"/>
      </w:pPr>
      <w:r>
        <w:rPr>
          <w:b w:val="0"/>
        </w:rPr>
        <w:t xml:space="preserve">⚠️ </w:t>
      </w:r>
      <w:r>
        <w:rPr>
          <w:b/>
        </w:rPr>
        <w:t>Kê sắt uống cho thiếu sắt suy tim</w:t>
      </w:r>
      <w:r>
        <w:rPr>
          <w:b w:val="0"/>
        </w:rPr>
        <w:t>: Hepcidin tăng làm ruột không hấp thu; phải bù sắt IV.</w:t>
      </w:r>
    </w:p>
    <w:p>
      <w:pPr>
        <w:pStyle w:val="ListBullet"/>
        <w:spacing w:after="60"/>
      </w:pPr>
      <w:r>
        <w:rPr>
          <w:b w:val="0"/>
        </w:rPr>
        <w:t xml:space="preserve">⚠️ </w:t>
      </w:r>
      <w:r>
        <w:rPr>
          <w:b/>
        </w:rPr>
        <w:t>LVEF hồi phục &gt; 50% → tự ngưng GDMT</w:t>
      </w:r>
      <w:r>
        <w:rPr>
          <w:b w:val="0"/>
        </w:rPr>
        <w:t>: HFimpEF, ngưng sẽ tái phát nặng.</w:t>
      </w:r>
    </w:p>
    <w:p>
      <w:pPr>
        <w:pStyle w:val="Heading1"/>
      </w:pPr>
      <w:r>
        <w:t>8. TÀI LIỆU THAM KHẢO</w:t>
      </w:r>
    </w:p>
    <w:p>
      <w:pPr>
        <w:pStyle w:val="ListBullet"/>
        <w:spacing w:after="60"/>
      </w:pPr>
      <w:r>
        <w:t>Heidenreich PA, et al. 2022 AHA/ACC/HFSA Guideline for the Management of Heart Failure. Circulation. 2022. PMID: 35363499.</w:t>
      </w:r>
    </w:p>
    <w:p>
      <w:pPr>
        <w:pStyle w:val="ListBullet"/>
        <w:spacing w:after="60"/>
      </w:pPr>
      <w:r>
        <w:t>McMurray JJV, et al. Angiotensin-neprilysin inhibition vs enalapril in heart failure (PARADIGM-HF). N Engl J Med. 2014.</w:t>
      </w:r>
    </w:p>
    <w:p>
      <w:pPr>
        <w:pStyle w:val="ListBullet"/>
        <w:spacing w:after="60"/>
      </w:pPr>
      <w:r>
        <w:t>McMurray JJV, et al. Dapagliflozin in Patients with Heart Failure and Reduced Ejection Fraction (DAPA-HF). N Engl J Med. 2019.</w:t>
      </w:r>
    </w:p>
    <w:p>
      <w:pPr>
        <w:pStyle w:val="ListBullet"/>
        <w:spacing w:after="60"/>
      </w:pPr>
      <w:r>
        <w:t>Packer M, et al. Cardiovascular and Renal Outcomes with Empagliflozin in Heart Failure (EMPEROR-Reduced). N Engl J Med. 2020.</w:t>
      </w:r>
    </w:p>
    <w:p>
      <w:pPr>
        <w:pStyle w:val="ListBullet"/>
        <w:spacing w:after="60"/>
      </w:pPr>
      <w:r>
        <w:t>McDonagh TA, et al. 2021 ESC Guidelines for the diagnosis and treatment of acute and chronic heart failure. Eur Heart J. 2021.</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