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IM-35 — Tiếp cận đau bụng cấp và nôn/tiêu chảy</w:t>
      </w:r>
    </w:p>
    <w:p>
      <w:r>
        <w:t>Bai hoc y khoa - IM-35_RESEARCH_BRIEF</w:t>
      </w:r>
    </w:p>
    <w:p>
      <w:pPr>
        <w:pStyle w:val="Title"/>
      </w:pPr>
      <w:r>
        <w:t>RESEARCH BRIEF: IM-35 — Tiếp cận đau bụng cấp và nôn/tiêu chảy</w:t>
      </w:r>
    </w:p>
    <w:p>
      <w:r>
        <w:rPr>
          <w:b/>
        </w:rPr>
        <w:t>Ngày:</w:t>
      </w:r>
      <w:r>
        <w:t xml:space="preserve"> 2026-07-20 | </w:t>
      </w:r>
      <w:r>
        <w:rPr>
          <w:b/>
        </w:rPr>
        <w:t>Model research:</w:t>
      </w:r>
      <w:r>
        <w:t xml:space="preserve"> DeepSeek (ocg) | </w:t>
      </w:r>
      <w:r>
        <w:rPr>
          <w:b/>
        </w:rPr>
        <w:t>Model execute:</w:t>
      </w:r>
      <w:r>
        <w:t xml:space="preserve"> DeepSeek (ocg)</w:t>
      </w:r>
    </w:p>
    <w:p/>
    <w:p>
      <w:pPr>
        <w:pStyle w:val="Heading1"/>
      </w:pPr>
      <w:r>
        <w:t>1. Papers đã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đề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chọn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18441863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Cartwright SL, Knudson MP. Evaluation of acute abdominal pain in adults. Am Fam Physician. 2008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Xương sống lâm sàng</w:t>
            </w:r>
            <w:r>
              <w:t xml:space="preserve"> — tiếp cận đau bụng cấp từ history, exam, location-based DDx, imaging.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25884745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Cartwright SL, Knudson MP. Diagnostic imaging of acute abdominal pain in adults. Am Fam Physician. 2015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Chỉ định hình ảnh</w:t>
            </w:r>
            <w:r>
              <w:t xml:space="preserve"> — ACR Appropriateness Criteria theo vị trí đau.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Shane AL et al. 2017 IDSA Clinical Practice Guidelines for Diagnosis and Management of Infectious Diarrhea. Clin Infect Dis. 2017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Tiêu chảy nhiễm trùng</w:t>
            </w:r>
            <w:r>
              <w:t xml:space="preserve"> — guideline lõi về chẩn đoán, xét nghiệm, điều trị.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27068718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Riddle MS et al. ACG Clinical Guideline: Diagnosis, Treatment, and Prevention of Acute Diarrheal Infections in Adults. Am J Gastroenterol. 2016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Tiêu chảy cấp người lớn</w:t>
            </w:r>
            <w:r>
              <w:t xml:space="preserve"> — ACG guideline, bổ trợ cho IDSA.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38965057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Bonomo RA et al. 2024 IDSA cIAI Risk Assessment, Diagnostic Imaging, Microbiology. Clin Infect Dis. 2024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Nhiễm trùng ổ bụng</w:t>
            </w:r>
            <w:r>
              <w:t xml:space="preserve"> — 2024 update, 21 khuyến cáo risk assessment + imaging.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38963817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Bonomo RA et al. 2024 IDSA cIAI: Utility of Blood Cultures. Clin Infect Dis. 2024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Cấy máu trong IAI</w:t>
            </w:r>
            <w:r>
              <w:t xml:space="preserve"> — khi nào chỉ định, khi nào không.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40967062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Kanani F et al. Standardized Pain Management Protocols for Acute Abdominal Pain in ED. J Emerg Med. 2025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Giảm đau an toàn</w:t>
            </w:r>
            <w:r>
              <w:t xml:space="preserve"> — 47 studies, n=8347: giảm đau không che lấp chẩn đoán.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38682788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SR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Doleman B et al. Appendectomy vs antibiotics for acute appendicitis. Cochrane. 2024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Viêm ruột thừa</w:t>
            </w:r>
            <w:r>
              <w:t xml:space="preserve"> — cập nhật 2024 về điều trị nội vs ngoại.</w:t>
            </w:r>
          </w:p>
        </w:tc>
      </w:tr>
    </w:tbl>
    <w:p/>
    <w:p>
      <w:pPr>
        <w:pStyle w:val="Heading1"/>
      </w:pPr>
      <w:r>
        <w:t>2. Claims đã verify</w:t>
      </w:r>
    </w:p>
    <w:p>
      <w:pPr>
        <w:pStyle w:val="Heading2"/>
      </w:pPr>
      <w:r>
        <w:t>2.1 Tiếp cận đau bụng cấp không phân biệt (Cartwright 2008)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Vị trí đau là điểm khởi đầu hữu ích để định hướng chẩn đoán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18441863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Táo bón + chướng bụng gợi ý mạnh tắc ruột. Chán ăn có ít giá trị tiên đoán trong viêm ruột thừa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18441863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ACR Appropriateness Criteria khuyến cáo chọn imaging theo vị trí đau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18441863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</w:tbl>
    <w:p>
      <w:pPr>
        <w:pStyle w:val="Heading2"/>
      </w:pPr>
      <w:r>
        <w:t>2.2 Hình ảnh học trong đau bụng cấp (Cartwright 2015)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là test hình ảnh đầu tay cho đau hạ sườn phải (RUQ pain)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25884745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 được khuyến cáo cho đau hố chậu phải hoặc trái (RLQ/LLQ pain)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25884745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 có cản quang đường uống + IV được khuyến cáo khi siêu âm không kết luận được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25884745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>
      <w:pPr>
        <w:pStyle w:val="Heading2"/>
      </w:pPr>
      <w:r>
        <w:t>2.3 IDSA 2024 cIAI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21 khuyến cáo cập nhật về risk assessment, diagnostic imaging, và microbiological evaluation trong cIAI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38965057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 về chỉ định cấy máu trong nhiễm trùng ổ bụng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38963817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Khuyến cáo về diagnostic imaging trong nghi ngờ viêm túi mật cấp và viêm đường mật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38963820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>
      <w:pPr>
        <w:pStyle w:val="Heading2"/>
      </w:pPr>
      <w:r>
        <w:t>2.4 Giảm đau trong đau bụng cấp (Kanani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47 studies, n=8347: standardized pain protocols → giảm time-to-analgesia 42.7% (37.3 phút tuyệt đối)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40967062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Pain intensity reduction: SMD −0.76 (95% CI −0.89 to −0.63)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40967062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Diagnostic accuracy không bị ảnh hưởng: RR 0.98 (95% CI 0.94–1.02)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40967062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Lợi ích nhất quán trên mọi pathology: visceral, biliary, renal, pelvic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40967062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>
      <w:pPr>
        <w:pStyle w:val="Heading2"/>
      </w:pPr>
      <w:r>
        <w:t>2.5 Viêm ruột thừa (Cochrane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 RCTs, 1675 kháng sinh vs 1683 phẫu thuật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38682788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Kháng sinh có thể liên quan đến tỉ lệ điều trị thất bại cao hơn (76/1000)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38682788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1/3 BN điều trị kháng sinh cần phẫu thuật sau đó trong vòng 1 năm; 2/3 tránh được phẫu thuật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38682788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>
      <w:pPr>
        <w:pStyle w:val="Heading2"/>
      </w:pPr>
      <w:r>
        <w:t>2.6 Tiêu chảy nhiễm trùng (IDSA 2017 + ACG 2016)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IDSA 2017: guideline lõi về chẩn đoán và quản lý tiêu chảy nhiễm trùng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2016: tiếp cận dựa trên bằng chứng để chẩn đoán, dự phòng và điều trị tiêu chảy nhiễm trùng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27068718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Fecal leukocyte và lactoferrin KHÔNG nên được dùng để xác định nguyên nhân của tiêu chảy nhiễm trùng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kháng sinh kinh nghiệm thường quy cho BN có miễn dịch bình thường bị tiêu chảy phân máu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khuyến cáo kháng sinh kinh nghiệm cho tiêu chảy phân nước cấp ở BN không có yếu tố du lịch quốc tế gần đây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ORS là điều trị đầu tay cho mất nước nhẹ–trung bình; dịch tinh thể IV đẳng trương cho mất nước nặng/sốc/rối loạn tri giác/ileus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29194529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VERIFIED]</w:t>
            </w:r>
          </w:p>
        </w:tc>
      </w:tr>
    </w:tbl>
    <w:p/>
    <w:p>
      <w:pPr>
        <w:pStyle w:val="Heading1"/>
      </w:pPr>
      <w:r>
        <w:t>3. Kiến thức nền (có nguồn)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vùng ổ bụng 4 hoặc 9 vùng; mỗi vùng liên quan đến cơ quan khác nhau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Gray's Anatomy for Students, 5e, Ch.4]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đau bụng: visceral (căng, co thắt) → midline, mơ hồ; parietal (viêm phúc mạc) → khu trú, sharp; referred → xa vị trí tổn thương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Harrison's Internal Medicine, 21e, Ch.40]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lý hấp thu nước ở ruột: ruột non ~8.5L/ngày; đại tràng ~1.3L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Fordtran, 11e, Ch.5]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Dấu hiệu peritoneal: guarding, rigidity, rebound tenderness → viêm phúc mạc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Schwartz's Principles of Surgery, 11e, Ch.27]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mất nước lâm sàng: sinh tồn → niêm mạc → da → nước tiểu → tri giác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Fordtran, 11e, Ch.5]</w:t>
            </w:r>
          </w:p>
        </w:tc>
      </w:tr>
    </w:tbl>
    <w:p/>
    <w:p>
      <w:pPr>
        <w:pStyle w:val="Heading1"/>
      </w:pPr>
      <w:r>
        <w:t>4. Số liệu CẤM dùng</w:t>
      </w:r>
    </w:p>
    <w:p>
      <w:pPr>
        <w:pStyle w:val="ListBullet"/>
      </w:pPr>
      <w:r>
        <w:t>Tỉ lệ phần trăm từng bệnh lý trong đau bụng cấp tại VN (không có dữ liệu quốc gia)</w:t>
      </w:r>
    </w:p>
    <w:p>
      <w:pPr>
        <w:pStyle w:val="ListBullet"/>
      </w:pPr>
      <w:r>
        <w:t>Liều thuốc cụ thể (giảm đau, chống nôn, kháng sinh) — không có PMID riêng</w:t>
      </w:r>
    </w:p>
    <w:p>
      <w:pPr>
        <w:pStyle w:val="ListBullet"/>
      </w:pPr>
      <w:r>
        <w:t>Số liệu độ nhạy/đặc hiệu từng dấu hiệu thực thể — Cartwright (2008) là narrative review</w:t>
      </w:r>
    </w:p>
    <w:p>
      <w:pPr>
        <w:pStyle w:val="ListBullet"/>
      </w:pPr>
      <w:r>
        <w:t>Tỉ lệ kháng kháng sinh tại VN trong tiêu chảy — không có PMID</w:t>
      </w:r>
    </w:p>
    <w:p/>
    <w:p>
      <w:pPr>
        <w:pStyle w:val="Heading1"/>
      </w:pPr>
      <w:r>
        <w:t>5. Dàn ý chi tiết</w:t>
      </w:r>
    </w:p>
    <w:p>
      <w:pPr>
        <w:pStyle w:val="Heading2"/>
      </w:pPr>
      <w:r>
        <w:t>Section 0: Tổng quan</w:t>
      </w:r>
    </w:p>
    <w:p>
      <w:pPr>
        <w:pStyle w:val="ListBullet"/>
      </w:pPr>
      <w:r>
        <w:t>Đau bụng cấp = 5–10% lượt khám cấp cứu. Phổ từ tự giới hạn đến tử vong</w:t>
      </w:r>
    </w:p>
    <w:p>
      <w:pPr>
        <w:pStyle w:val="ListBullet"/>
      </w:pPr>
      <w:r>
        <w:t>Sai lầm lớn nhất: bỏ sót bụng ngoại khoa vì tập trung vào chẩn đoán Nội khoa</w:t>
      </w:r>
    </w:p>
    <w:p>
      <w:pPr>
        <w:pStyle w:val="ListBullet"/>
      </w:pPr>
      <w:r>
        <w:t>Mục tiêu: nhận diện bụng ngoại khoa, phân luồng an toàn, đánh giá mất nước, xử trí ban đầu</w:t>
      </w:r>
    </w:p>
    <w:p>
      <w:pPr>
        <w:pStyle w:val="Heading2"/>
      </w:pPr>
      <w:r>
        <w:t>Section 0.1: Nền tảng tối thiểu (vì IM-01–06 chưa có)</w:t>
      </w:r>
    </w:p>
    <w:p>
      <w:pPr>
        <w:pStyle w:val="ListBullet"/>
      </w:pPr>
      <w:r>
        <w:t>ABCDE, sinh hiệu bắt buộc, đánh giá sốc nhanh</w:t>
      </w:r>
    </w:p>
    <w:p>
      <w:pPr>
        <w:pStyle w:val="ListBullet"/>
      </w:pPr>
      <w:r>
        <w:t>Kiến thức nền #1: giải phẫu phân vùng ổ bụng</w:t>
      </w:r>
    </w:p>
    <w:p>
      <w:pPr>
        <w:pStyle w:val="Heading2"/>
      </w:pPr>
      <w:r>
        <w:t>Section 1: Phân tầng an toàn [CỐT LÕI]</w:t>
      </w:r>
    </w:p>
    <w:p>
      <w:pPr>
        <w:pStyle w:val="ListBullet"/>
      </w:pPr>
      <w:r>
        <w:t>Dùng kiến thức nền #2, #4</w:t>
      </w:r>
    </w:p>
    <w:p>
      <w:pPr>
        <w:pStyle w:val="ListBullet"/>
      </w:pPr>
      <w:r>
        <w:rPr>
          <w:b/>
        </w:rPr>
        <w:t>BOX ĐỎ — 7 red flags bụng ngoại khoa</w:t>
      </w:r>
    </w:p>
    <w:p>
      <w:pPr>
        <w:pStyle w:val="ListBullet"/>
      </w:pPr>
      <w:r>
        <w:t>Phân biệt đau Nội vs Ngoại</w:t>
      </w:r>
    </w:p>
    <w:p>
      <w:pPr>
        <w:pStyle w:val="Heading2"/>
      </w:pPr>
      <w:r>
        <w:t>Section 2: Tiếp cận có hệ thống [CỐT LÕI]</w:t>
      </w:r>
    </w:p>
    <w:p>
      <w:pPr>
        <w:pStyle w:val="ListBullet"/>
      </w:pPr>
      <w:r>
        <w:t>Bệnh sử SOCRATES, DDx theo vị trí đau (claims C1-C2)</w:t>
      </w:r>
    </w:p>
    <w:p>
      <w:pPr>
        <w:pStyle w:val="ListBullet"/>
      </w:pPr>
      <w:r>
        <w:t>Khám bụng có hệ thống</w:t>
      </w:r>
    </w:p>
    <w:p>
      <w:pPr>
        <w:pStyle w:val="Heading2"/>
      </w:pPr>
      <w:r>
        <w:t>Section 3: Cận lâm sàng [CỐT LÕI]</w:t>
      </w:r>
    </w:p>
    <w:p>
      <w:pPr>
        <w:pStyle w:val="ListBullet"/>
      </w:pPr>
      <w:r>
        <w:t>Xét nghiệm máu: bảng ý nghĩa và giới hạn</w:t>
      </w:r>
    </w:p>
    <w:p>
      <w:pPr>
        <w:pStyle w:val="ListBullet"/>
      </w:pPr>
      <w:r>
        <w:t>Hình ảnh học: siêu âm cho RUQ, CT cho RLQ/LLQ (claims I1-I3)</w:t>
      </w:r>
    </w:p>
    <w:p>
      <w:pPr>
        <w:pStyle w:val="ListBullet"/>
      </w:pPr>
      <w:r>
        <w:t>Cấy máu: chỉ định theo IDSA 2024 (claims D1-D2)</w:t>
      </w:r>
    </w:p>
    <w:p>
      <w:pPr>
        <w:pStyle w:val="Heading2"/>
      </w:pPr>
      <w:r>
        <w:t>Section 4: Giảm đau an toàn [CỐT LÕI]</w:t>
      </w:r>
    </w:p>
    <w:p>
      <w:pPr>
        <w:pStyle w:val="ListBullet"/>
      </w:pPr>
      <w:r>
        <w:t>Claims P1-P4 (Kanani 2025): giảm đau KHÔNG che lấp chẩn đoán</w:t>
      </w:r>
    </w:p>
    <w:p>
      <w:pPr>
        <w:pStyle w:val="ListBullet"/>
      </w:pPr>
      <w:r>
        <w:rPr>
          <w:b/>
        </w:rPr>
        <w:t>KHÔNG ghi liều cụ thể hoặc bảng chọn thuốc</w:t>
      </w:r>
      <w:r>
        <w:t xml:space="preserve"> — chỉ nêu nguyên tắc an toàn, chọn thuốc theo dược thư địa phương</w:t>
      </w:r>
    </w:p>
    <w:p>
      <w:pPr>
        <w:pStyle w:val="Heading2"/>
      </w:pPr>
      <w:r>
        <w:t>Section 5: Nôn và tiêu chảy — mất nước [CỐT LÕI]</w:t>
      </w:r>
    </w:p>
    <w:p>
      <w:pPr>
        <w:pStyle w:val="ListBullet"/>
      </w:pPr>
      <w:r>
        <w:t>Kiến thức nền #3, #5: phân độ mất nước (không ghi %), cơ chế ORS</w:t>
      </w:r>
    </w:p>
    <w:p>
      <w:pPr>
        <w:pStyle w:val="ListBullet"/>
      </w:pPr>
      <w:r>
        <w:t>ORS điều trị đầu tay (claim T6). Chỉ định IV: sốc, mất nước nặng, rối loạn tri giác, ileus</w:t>
      </w:r>
    </w:p>
    <w:p>
      <w:pPr>
        <w:pStyle w:val="Heading2"/>
      </w:pPr>
      <w:r>
        <w:t>Section 6: Xét nghiệm phân [CỐT LÕI]</w:t>
      </w:r>
    </w:p>
    <w:p>
      <w:pPr>
        <w:pStyle w:val="ListBullet"/>
      </w:pPr>
      <w:r>
        <w:t>Claims T1-T5: chỉ định cấy phân, KHÔNG dùng fecal markers để xác định nguyên nhân</w:t>
      </w:r>
    </w:p>
    <w:p>
      <w:pPr>
        <w:pStyle w:val="ListBullet"/>
      </w:pPr>
      <w:r>
        <w:t>KHÔNG kháng sinh thường quy cho tiêu chảy phân máu/phân nước ở BN miễn dịch bình thường</w:t>
      </w:r>
    </w:p>
    <w:p>
      <w:pPr>
        <w:pStyle w:val="ListBullet"/>
      </w:pPr>
      <w:r>
        <w:rPr>
          <w:b/>
        </w:rPr>
        <w:t>KHÔNG ghi ngưỡng số cụ thể, KHÔNG ghi tên kháng sinh cụ thể</w:t>
      </w:r>
    </w:p>
    <w:p>
      <w:pPr>
        <w:pStyle w:val="Heading2"/>
      </w:pPr>
      <w:r>
        <w:t>Section 7: Flowchart [CỐT LÕI]</w:t>
      </w:r>
    </w:p>
    <w:p>
      <w:pPr>
        <w:pStyle w:val="ListBullet"/>
      </w:pPr>
      <w:r>
        <w:t>Mermaid: ABCDE → Red flags → Surgical vs medical → Location-based imaging</w:t>
      </w:r>
    </w:p>
    <w:p>
      <w:pPr>
        <w:pStyle w:val="ListBullet"/>
      </w:pPr>
      <w:r>
        <w:t>Nhánh thiếu nguồn lực/Plan B</w:t>
      </w:r>
    </w:p>
    <w:p>
      <w:pPr>
        <w:pStyle w:val="Heading2"/>
      </w:pPr>
      <w:r>
        <w:t>Sections 8–13: Sai lầm, Áp dụng VN, Case, Tips, Tổng kết, References</w:t>
      </w:r>
    </w:p>
    <w:p/>
    <w:p>
      <w:pPr>
        <w:pStyle w:val="Heading1"/>
      </w:pPr>
      <w:r>
        <w:t>6. Hướng dẫn cho model execute</w:t>
      </w:r>
    </w:p>
    <w:p>
      <w:r>
        <w:rPr>
          <w:rFonts w:ascii="Consolas" w:hAnsi="Consolas"/>
          <w:sz w:val="18"/>
        </w:rPr>
        <w:t>QUY TẮC CỨNG:</w:t>
        <w:br/>
        <w:t>1. CHỈ dùng claims trong bảng "Claims đã verify" — KHÔNG thêm claim mới.</w:t>
        <w:br/>
        <w:t>2. KHÔNG ghi liều thuốc, phác đồ kháng sinh, hoặc ngưỡng số cụ thể nếu không có PMID.</w:t>
        <w:br/>
        <w:t>3. Viết định tính cho protocol không có PMID: "cần bù dịch" thay vì "truyền 500mL/h".</w:t>
        <w:br/>
        <w:t>4. Mọi số liệu cụ thể trong MD PHẢI có trong bảng claims.</w:t>
        <w:br/>
        <w:t>5. Tiếng Việt có dấu đầy đủ. Thuật ngữ y khoa giữ tiếng Anh, giải thích lần đầu.</w:t>
        <w:br/>
        <w:t>6. BOX ĐỎ trước nhánh thường quy. Flowchart có nhánh cấp cứu + nhánh thiếu nguồn lực.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