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IM-36 — Xuất huyết tiêu hóa trên &amp; dưới sau hồi sức</w:t>
      </w:r>
    </w:p>
    <w:p>
      <w:r>
        <w:t>Bai hoc y khoa - IM-36_RESEARCH_BRIEF</w:t>
      </w:r>
    </w:p>
    <w:p>
      <w:pPr>
        <w:pStyle w:val="Title"/>
      </w:pPr>
      <w:r>
        <w:t>RESEARCH BRIEF: IM-36 — Xuất huyết tiêu hóa trên &amp; dưới sau hồi sức</w:t>
      </w:r>
    </w:p>
    <w:p>
      <w:r>
        <w:rPr>
          <w:b/>
        </w:rPr>
        <w:t>Ngày:</w:t>
      </w:r>
      <w:r>
        <w:t xml:space="preserve"> 2026-07-19 | </w:t>
      </w:r>
      <w:r>
        <w:rPr>
          <w:b/>
        </w:rPr>
        <w:t>Model research:</w:t>
      </w:r>
      <w:r>
        <w:t xml:space="preserve"> DeepSeek (ocg) | </w:t>
      </w:r>
      <w:r>
        <w:rPr>
          <w:b/>
        </w:rPr>
        <w:t>Model execute:</w:t>
      </w:r>
      <w:r>
        <w:t xml:space="preserve"> DeepSeek (ocg)</w:t>
      </w:r>
    </w:p>
    <w:p/>
    <w:p>
      <w:pPr>
        <w:pStyle w:val="Heading1"/>
      </w:pPr>
      <w:r>
        <w:t>1. Papers đã chọn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đề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Tại sao chọn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25308912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MA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Epinephrine injection vs epinephrine + second method in high-risk bleeding ulcers (2014)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Xương sống dual therapy</w:t>
            </w:r>
            <w:r>
              <w:t xml:space="preserve"> — 19 RCTs, n=2.033. Là bằng chứng mạnh nhất cho "không tiêm epinephrine đơn thuần"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ESGE 2021: NVUGIH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Tier 0</w:t>
            </w:r>
            <w:r>
              <w:t xml:space="preserve"> — tái dùng từ IM-16. Phần endoscopic management: Forrest, dual therapy, aspirin management, H. pylori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ACG 2021: UGIB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Tier 0</w:t>
            </w:r>
            <w:r>
              <w:t xml:space="preserve"> — tái dùng từ IM-16. Khuyến cáo endoscopic therapy, PPI post-endoscopy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Consensus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Baveno VII 2022: Portal hypertension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Tier 0</w:t>
            </w:r>
            <w:r>
              <w:t xml:space="preserve"> — tái dùng từ IM-16. Secondary prophylaxis: NSBB + EVL, carvedilol preference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27147389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Carvedilol for portal hypertension in cirrhosis (2016)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Carvedilol &gt; propranolol</w:t>
            </w:r>
            <w:r>
              <w:t xml:space="preserve"> — 12 RCTs, bằng chứng cho ưu tiên carvedilol trong dự phòng thứ phát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30792244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BSG 2019: Lower GI bleeding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Tier 0 cho XHTH dưới</w:t>
            </w:r>
            <w:r>
              <w:t xml:space="preserve"> — CTA trước nội soi, embolization, transfusion</w:t>
            </w:r>
          </w:p>
        </w:tc>
      </w:tr>
    </w:tbl>
    <w:p>
      <w:r>
        <w:rPr>
          <w:b/>
        </w:rPr>
        <w:t>Reusable từ IM-16 (không fetch lại):</w:t>
      </w:r>
    </w:p>
    <w:p>
      <w:pPr>
        <w:pStyle w:val="ListBullet"/>
      </w:pPr>
      <w:r>
        <w:t>Cochrane restrictive vs liberal transfusion (28397699) — dùng cho phần transfusion trong XHTH dưới</w:t>
      </w:r>
    </w:p>
    <w:p>
      <w:pPr>
        <w:pStyle w:val="ListBullet"/>
      </w:pPr>
      <w:r>
        <w:t>TRIGGER trial (23281973) — restrictive transfusion</w:t>
      </w:r>
    </w:p>
    <w:p>
      <w:pPr>
        <w:pStyle w:val="ListBullet"/>
      </w:pPr>
      <w:r>
        <w:t>HALT-IT (32563378) — TXA negative</w:t>
      </w:r>
    </w:p>
    <w:p>
      <w:r>
        <w:rPr>
          <w:b/>
        </w:rPr>
        <w:t>Đã loại:</w:t>
      </w:r>
    </w:p>
    <w:p>
      <w:pPr>
        <w:pStyle w:val="ListBullet"/>
      </w:pPr>
      <w:r>
        <w:t>PMID 33822357 (Cochrane 2021 primary prevention variceal) — là PRIMARY prevention, không phải secondary. Không dùng cho IM-36.</w:t>
      </w:r>
    </w:p>
    <w:p>
      <w:pPr>
        <w:pStyle w:val="ListBullet"/>
      </w:pPr>
      <w:r>
        <w:t>PMID 42270957 (UGIB comprehensive review 2026) — review chung, không có số liệu mới. Dùng làm background nếu cần.</w:t>
      </w:r>
    </w:p>
    <w:p/>
    <w:p>
      <w:pPr>
        <w:pStyle w:val="Heading1"/>
      </w:pPr>
      <w:r>
        <w:t>2. Claims đã verify</w:t>
      </w:r>
    </w:p>
    <w:p>
      <w:pPr>
        <w:pStyle w:val="Heading2"/>
      </w:pPr>
      <w:r>
        <w:t>2.1 Dual therapy nội soi (Cochrane 2014)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19 RCTs, n=2.033 BN loét nguy cơ cao (Forrest Ia–IIb)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25308912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VERIFIED: PMID 25308912]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Epinephrine + second method → giảm further bleeding: RR 0.53 (95% CI 0.35–0.81)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25308912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VERIFIED: PMID 25308912]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overall bleeding (persistent + recurrent): RR 0.57 (95% CI 0.43–0.76)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25308912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VERIFIED: PMID 25308912]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emergency surgery: RR 0.68 (95% CI 0.50–0.93)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25308912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VERIFIED: PMID 25308912]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Mortality không khác biệt có ý nghĩa giữa 2 nhóm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25308912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luận: "Additional endoscopic treatment after epinephrine injection reduces further bleeding and need for surgery"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25308912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</w:tbl>
    <w:p>
      <w:pPr>
        <w:pStyle w:val="Heading2"/>
      </w:pPr>
      <w:r>
        <w:t>2.2 ESGE 2021 (tái dùng từ IM-16)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Endoscopic therapy recommended for Forrest Ia, Ib, IIa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33567467]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Epinephrine NOT as monotherapy — combine with clip or thermal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33567467]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Aspirin for secondary CV prophylaxis: do not interrupt. Restart within 3–5 days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33567467]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H. pylori testing for all PUD bleeding patients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33567467]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High-dose PPI IV (bolus + continuous) for 72h after endoscopic hemostasis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33567467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33567467]</w:t>
            </w:r>
          </w:p>
        </w:tc>
      </w:tr>
    </w:tbl>
    <w:p>
      <w:pPr>
        <w:pStyle w:val="Heading2"/>
      </w:pPr>
      <w:r>
        <w:t>2.3 ACG 2021 (tái dùng từ IM-16)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Endoscopic therapy for active spurting/oozing and nonbleeding visible vessels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33929377]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PPI bolus + continuous infusion for 3 days after endoscopic hemostasis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33929377]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Routine second-look endoscopy NOT recommended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33929377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33929377]</w:t>
            </w:r>
          </w:p>
        </w:tc>
      </w:tr>
    </w:tbl>
    <w:p>
      <w:pPr>
        <w:pStyle w:val="Heading2"/>
      </w:pPr>
      <w:r>
        <w:t>2.4 Baveno VII (tái dùng từ IM-16)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NSBB + EVL for secondary prophylaxis of variceal bleeding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35120736]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Carvedilol preferred over propranolol for portal hypertension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35120736]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EVL every 2–4 weeks until varices eradicated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35120736]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Endoscopic surveillance every 6–12 months after eradication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35120736]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TIPS (covered stent) when NSBB + EVL fails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35120736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35120736]</w:t>
            </w:r>
          </w:p>
        </w:tc>
      </w:tr>
    </w:tbl>
    <w:p>
      <w:pPr>
        <w:pStyle w:val="Heading2"/>
      </w:pPr>
      <w:r>
        <w:t>2.5 Carvedilol meta (2016)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12 RCTs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27147389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VERIFIED: PMID 27147389]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Carvedilol vs propranolol: greater HVPG reduction (MD −8.49%, 95% CI −12.36 to −4.63)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27147389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VERIFIED: PMID 27147389]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Carvedilol không giảm MAP nhiều hơn propranolol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27147389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Carvedilol vs EVL: no significant difference in mortality or bleeding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27147389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Overall quality of evidence is low — need more RCTs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27147389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[DIRECTION ONLY]</w:t>
            </w:r>
          </w:p>
        </w:tc>
      </w:tr>
    </w:tbl>
    <w:p>
      <w:pPr>
        <w:pStyle w:val="Heading2"/>
      </w:pPr>
      <w:r>
        <w:t>2.6 BSG 2019 — Lower GI Bleeding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 angiography for hemodynamically unstable patients with suspected LGIB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30792244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30792244]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Colonoscopy within 24h after adequate bowel preparation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30792244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30792244]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Angiographic embolization first-line when endoscopy fails or not feasible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30792244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30792244]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Restrictive transfusion (Hb &lt;7, or &lt;8 in CVD)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30792244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[GUIDELINE VERIFIED: PMID 30792244]</w:t>
            </w:r>
          </w:p>
        </w:tc>
      </w:tr>
    </w:tbl>
    <w:p/>
    <w:p>
      <w:pPr>
        <w:pStyle w:val="Heading1"/>
      </w:pPr>
      <w:r>
        <w:t>3. Kiến thức nền (textbook)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Kiến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Forrest classification: Ia spurting, Ib oozing, IIa visible vessel, IIb adherent clot, IIc flat spot, III clean base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Fordtran's GI and Liver Disease, 11e, Ch.20]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Rockall score: age + shock + comorbidity + endoscopic diagnosis + SRH → predicts mortality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Fordtran, 11e]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H. pylori → chronic gastritis → ulcer → bleeding. Eradication reduces recurrence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Harrison's Principles of Internal Medicine, 21e, Ch.190]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Portal hypertension pathophysiology: increased resistance + increased flow → varices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Fordtran, 11e, Ch.92]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NSBB mechanism: β1 blockade → ↓ CO; β2 blockade → splanchnic vasoconstriction → ↓ portal flow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Guyton and Hall, 15e]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EVL mechanism: rubber band ligation → ischemic necrosis → fibrosis → variceal obliteration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Sleisenger and Fordtran, 11e]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CT angiography for GI bleeding: detects bleeding rate &gt;0.3–0.5 mL/min, guides embolization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[TEXTBOOK: Harrison's, 21e]</w:t>
            </w:r>
          </w:p>
        </w:tc>
      </w:tr>
    </w:tbl>
    <w:p/>
    <w:p>
      <w:pPr>
        <w:pStyle w:val="Heading1"/>
      </w:pPr>
      <w:r>
        <w:t>4. Số liệu CẤM dùng</w:t>
      </w:r>
    </w:p>
    <w:p>
      <w:pPr>
        <w:pStyle w:val="ListBullet"/>
      </w:pPr>
      <w:r>
        <w:t>Số liệu cụ thể về hiệu quả H. pylori eradication (NNT) — chưa fetch được meta-analysis riêng. Chỉ dùng khuyến cáo guideline.</w:t>
      </w:r>
    </w:p>
    <w:p>
      <w:pPr>
        <w:pStyle w:val="ListBullet"/>
      </w:pPr>
      <w:r>
        <w:t>Tỉ lệ biến chứng cụ thể của từng kỹ thuật nội soi — textbook knowledge, không có PMID.</w:t>
      </w:r>
    </w:p>
    <w:p>
      <w:pPr>
        <w:pStyle w:val="ListBullet"/>
      </w:pPr>
      <w:r>
        <w:t>Số liệu về tỉ lệ thành công của EVL/TIPS tại VN — không có dữ liệu.</w:t>
      </w:r>
    </w:p>
    <w:p/>
    <w:p>
      <w:pPr>
        <w:pStyle w:val="Heading1"/>
      </w:pPr>
      <w:r>
        <w:t>5. Dàn ý chi tiết (để expand MD)</w:t>
      </w:r>
    </w:p>
    <w:p>
      <w:pPr>
        <w:pStyle w:val="Heading2"/>
      </w:pPr>
      <w:r>
        <w:t>Section 0: Tổng quan</w:t>
      </w:r>
    </w:p>
    <w:p>
      <w:pPr>
        <w:pStyle w:val="ListBullet"/>
      </w:pPr>
      <w:r>
        <w:t>Mở bằng ca IM-16 đã hồi sức xong, giờ đến nội soi</w:t>
      </w:r>
    </w:p>
    <w:p>
      <w:pPr>
        <w:pStyle w:val="ListBullet"/>
      </w:pPr>
      <w:r>
        <w:t>IM-36 = "sau nội soi": Forrest → can thiệp → nguyên nhân → dự phòng</w:t>
      </w:r>
    </w:p>
    <w:p>
      <w:pPr>
        <w:pStyle w:val="ListBullet"/>
      </w:pPr>
      <w:r>
        <w:t>KHÔNG lặp IM-16</w:t>
      </w:r>
    </w:p>
    <w:p>
      <w:pPr>
        <w:pStyle w:val="Heading2"/>
      </w:pPr>
      <w:r>
        <w:t>Section 1: Chẩn đoán phân biệt nguồn chảy [CỐT LÕI]</w:t>
      </w:r>
    </w:p>
    <w:p>
      <w:pPr>
        <w:pStyle w:val="ListBullet"/>
      </w:pPr>
      <w:r>
        <w:t>Dùng claim: none (textbook + clinical reasoning)</w:t>
      </w:r>
    </w:p>
    <w:p>
      <w:pPr>
        <w:pStyle w:val="ListBullet"/>
      </w:pPr>
      <w:r>
        <w:t>Ba tình huống sau nội soi</w:t>
      </w:r>
    </w:p>
    <w:p>
      <w:pPr>
        <w:pStyle w:val="ListBullet"/>
      </w:pPr>
      <w:r>
        <w:t>Bảng variceal vs non-variceal</w:t>
      </w:r>
    </w:p>
    <w:p>
      <w:pPr>
        <w:pStyle w:val="Heading2"/>
      </w:pPr>
      <w:r>
        <w:t>Section 2: Forrest [CỐT LÕI]</w:t>
      </w:r>
    </w:p>
    <w:p>
      <w:pPr>
        <w:pStyle w:val="ListBullet"/>
      </w:pPr>
      <w:r>
        <w:t>Dùng kiến thức nền #1</w:t>
      </w:r>
    </w:p>
    <w:p>
      <w:pPr>
        <w:pStyle w:val="ListBullet"/>
      </w:pPr>
      <w:r>
        <w:t>Bảng Forrest I–III với nguy cơ tái XH</w:t>
      </w:r>
    </w:p>
    <w:p>
      <w:pPr>
        <w:pStyle w:val="ListBullet"/>
      </w:pPr>
      <w:r>
        <w:t>Caveats: IIa bắt buộc can thiệp, IIb vùng xám, PPI "hạ cấp"</w:t>
      </w:r>
    </w:p>
    <w:p>
      <w:pPr>
        <w:pStyle w:val="Heading2"/>
      </w:pPr>
      <w:r>
        <w:t>Section 3: Kỹ thuật nội soi [CỐT LÕI]</w:t>
      </w:r>
    </w:p>
    <w:p>
      <w:pPr>
        <w:pStyle w:val="ListBullet"/>
      </w:pPr>
      <w:r>
        <w:t>Dùng claims D1–D6 (dual therapy)</w:t>
      </w:r>
    </w:p>
    <w:p>
      <w:pPr>
        <w:pStyle w:val="ListBullet"/>
      </w:pPr>
      <w:r>
        <w:t>Dùng claims E1–E2 (ESGE khuyến cáo dual)</w:t>
      </w:r>
    </w:p>
    <w:p>
      <w:pPr>
        <w:pStyle w:val="ListBullet"/>
      </w:pPr>
      <w:r>
        <w:t>Bảng 6 kỹ thuật + so sánh</w:t>
      </w:r>
    </w:p>
    <w:p>
      <w:pPr>
        <w:pStyle w:val="ListBullet"/>
      </w:pPr>
      <w:r>
        <w:t>Biến chứng</w:t>
      </w:r>
    </w:p>
    <w:p>
      <w:pPr>
        <w:pStyle w:val="Heading2"/>
      </w:pPr>
      <w:r>
        <w:t>Section 4: Rockall score [CỐT LÕI]</w:t>
      </w:r>
    </w:p>
    <w:p>
      <w:pPr>
        <w:pStyle w:val="ListBullet"/>
      </w:pPr>
      <w:r>
        <w:t>Dùng kiến thức nền #2</w:t>
      </w:r>
    </w:p>
    <w:p>
      <w:pPr>
        <w:pStyle w:val="ListBullet"/>
      </w:pPr>
      <w:r>
        <w:t>Bảng tính đầy đủ</w:t>
      </w:r>
    </w:p>
    <w:p>
      <w:pPr>
        <w:pStyle w:val="ListBullet"/>
      </w:pPr>
      <w:r>
        <w:t>Diễn giải điểm</w:t>
      </w:r>
    </w:p>
    <w:p>
      <w:pPr>
        <w:pStyle w:val="Heading2"/>
      </w:pPr>
      <w:r>
        <w:t>Section 5: Điều trị nguyên nhân [CỐT LÕI]</w:t>
      </w:r>
    </w:p>
    <w:p>
      <w:pPr>
        <w:pStyle w:val="ListBullet"/>
      </w:pPr>
      <w:r>
        <w:t>Dùng claims E3–E5 (ESGE)</w:t>
      </w:r>
    </w:p>
    <w:p>
      <w:pPr>
        <w:pStyle w:val="ListBullet"/>
      </w:pPr>
      <w:r>
        <w:t>H. pylori test-and-treat (guideline)</w:t>
      </w:r>
    </w:p>
    <w:p>
      <w:pPr>
        <w:pStyle w:val="ListBullet"/>
      </w:pPr>
      <w:r>
        <w:t>NSAID/aspirin management</w:t>
      </w:r>
    </w:p>
    <w:p>
      <w:pPr>
        <w:pStyle w:val="ListBullet"/>
      </w:pPr>
      <w:r>
        <w:t>PPI maintenance</w:t>
      </w:r>
    </w:p>
    <w:p>
      <w:pPr>
        <w:pStyle w:val="Heading2"/>
      </w:pPr>
      <w:r>
        <w:t>Section 6: Dự phòng non-variceal</w:t>
      </w:r>
    </w:p>
    <w:p>
      <w:pPr>
        <w:pStyle w:val="ListBullet"/>
      </w:pPr>
      <w:r>
        <w:t>Tổng hợp từ Section 5</w:t>
      </w:r>
    </w:p>
    <w:p>
      <w:pPr>
        <w:pStyle w:val="Heading2"/>
      </w:pPr>
      <w:r>
        <w:t>Section 7: Dự phòng variceal [CỐT LÕI]</w:t>
      </w:r>
    </w:p>
    <w:p>
      <w:pPr>
        <w:pStyle w:val="ListBullet"/>
      </w:pPr>
      <w:r>
        <w:t>Dùng claims B1–B5 (Baveno VII)</w:t>
      </w:r>
    </w:p>
    <w:p>
      <w:pPr>
        <w:pStyle w:val="ListBullet"/>
      </w:pPr>
      <w:r>
        <w:t>Dùng claims C1–C5 (carvedilol)</w:t>
      </w:r>
    </w:p>
    <w:p>
      <w:pPr>
        <w:pStyle w:val="ListBullet"/>
      </w:pPr>
      <w:r>
        <w:t>NSBB titration, EVL schedule, TIPS</w:t>
      </w:r>
    </w:p>
    <w:p>
      <w:pPr>
        <w:pStyle w:val="Heading2"/>
      </w:pPr>
      <w:r>
        <w:t>Section 8: XHTH dưới [CỐT LÕI]</w:t>
      </w:r>
    </w:p>
    <w:p>
      <w:pPr>
        <w:pStyle w:val="ListBullet"/>
      </w:pPr>
      <w:r>
        <w:t>Dùng claims L1–L4 (BSG 2019)</w:t>
      </w:r>
    </w:p>
    <w:p>
      <w:pPr>
        <w:pStyle w:val="ListBullet"/>
      </w:pPr>
      <w:r>
        <w:t>CTA → embolization → colonoscopy</w:t>
      </w:r>
    </w:p>
    <w:p>
      <w:pPr>
        <w:pStyle w:val="ListBullet"/>
      </w:pPr>
      <w:r>
        <w:t>Mermaid flowchart</w:t>
      </w:r>
    </w:p>
    <w:p>
      <w:pPr>
        <w:pStyle w:val="Heading2"/>
      </w:pPr>
      <w:r>
        <w:t>Section 9: Evidence — CHỈ số liệu đã verify</w:t>
      </w:r>
    </w:p>
    <w:p>
      <w:pPr>
        <w:pStyle w:val="ListBullet"/>
      </w:pPr>
      <w:r>
        <w:t>Claims từ tất cả các bảng trên, format [FULL VERIFIED: PMID XXXXX]</w:t>
      </w:r>
    </w:p>
    <w:p>
      <w:pPr>
        <w:pStyle w:val="Heading2"/>
      </w:pPr>
      <w:r>
        <w:t>Section 10–15: Sai lầm, VN, Cases, Tips, Tổng kết, References</w:t>
      </w:r>
    </w:p>
    <w:p/>
    <w:p>
      <w:pPr>
        <w:pStyle w:val="Heading1"/>
      </w:pPr>
      <w:r>
        <w:t>6. Hướng dẫn cho model execute</w:t>
      </w:r>
    </w:p>
    <w:p>
      <w:r>
        <w:rPr>
          <w:rFonts w:ascii="Consolas" w:hAnsi="Consolas"/>
          <w:sz w:val="18"/>
        </w:rPr>
        <w:t>QUY TẮC CỨNG:</w:t>
        <w:br/>
        <w:t>1. Body text (Sections 1–8): CHỈ viết định tính, mô tả, giải thích cơ chế. KHÔNG số liệu cụ thể.</w:t>
        <w:br/>
        <w:t>2. Section 9 (Evidence): TẤT CẢ số liệu cụ thể, mỗi dòng có [FULL VERIFIED: PMID XXXXX] hoặc [GUIDELINE VERIFIED: PMID XXXXX].</w:t>
        <w:br/>
        <w:t>3. Mỗi claim số liệu chỉ gắn MỘT tag — không gộp nhiều PMID trong cùng một tag.</w:t>
        <w:br/>
        <w:t>4. Tiếng Việt có dấu. Thuật ngữ y khoa giữ tiếng Anh.</w:t>
        <w:br/>
        <w:t>5. Từ khóa: Forrest, dual therapy, Rockall, H. pylori eradication, NSBB, EVL, carvedilol, CTA, embolization.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