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 4: ĐIỀU TRỊ — PHÁC ĐỒ TIỆT TRỪ H. PYLORI THEO VNAGE 2022</w:t>
      </w:r>
    </w:p>
    <w:p>
      <w:r>
        <w:t>Bai hoc y khoa - Part_04_Phac_do_tiet_tru_H_pylori_VNAGE2022</w:t>
      </w:r>
    </w:p>
    <w:p>
      <w:pPr>
        <w:pStyle w:val="Title"/>
      </w:pPr>
      <w:r>
        <w:t>PART 4: ĐIỀU TRỊ — PHÁC ĐỒ TIỆT TRỪ H. PYLORI THEO VNAGE 2022</w:t>
      </w:r>
    </w:p>
    <w:p>
      <w:r>
        <w:rPr>
          <w:b/>
        </w:rPr>
        <w:t>Bài học:</w:t>
      </w:r>
      <w:r>
        <w:t xml:space="preserve"> Bệnh Loét Dạ Dày–Tá Tràng (PUD), GERD và Khó Tiêu (IM-37)  </w:t>
      </w:r>
    </w:p>
    <w:p>
      <w:r>
        <w:rPr>
          <w:b/>
        </w:rPr>
        <w:t>Chuyên khoa:</w:t>
      </w:r>
      <w:r>
        <w:t xml:space="preserve"> Nội khoa — Tiêu hóa  </w:t>
      </w:r>
    </w:p>
    <w:p>
      <w:r>
        <w:rPr>
          <w:b/>
        </w:rPr>
        <w:t>Đối tượng:</w:t>
      </w:r>
      <w:r>
        <w:t xml:space="preserve"> Bác sĩ tuyến tỉnh, bác sĩ tổng quát, học viên sau đại học và người học cần xây dựng lại nền tảng lâm sàng vững chắc.</w:t>
      </w:r>
    </w:p>
    <w:p/>
    <w:p>
      <w:pPr>
        <w:pStyle w:val="Heading1"/>
      </w:pPr>
      <w:r>
        <w:t>1. ĐẶT VẤN ĐỀ &amp; THỰC TRẠNG KHÁNG THUỐC TẠI VIỆT NAM</w:t>
      </w:r>
    </w:p>
    <w:p>
      <w:r>
        <w:t xml:space="preserve">Việc tiệt trừ </w:t>
      </w:r>
      <w:r>
        <w:rPr>
          <w:i/>
        </w:rPr>
        <w:t>Helicobacter pylori</w:t>
      </w:r>
      <w:r>
        <w:t xml:space="preserve"> thành công là </w:t>
      </w:r>
      <w:r>
        <w:rPr>
          <w:b/>
        </w:rPr>
        <w:t>chìa khóa để chữa khỏi hoàn toàn loét dạ dày – tá tràng</w:t>
      </w:r>
      <w:r>
        <w:t>, giảm tái phát từ $&gt;70\%$ xuống $&lt;5\%$/năm, và ngăn ngừa tiến triển thành ung thư dạ dày (Correa's cascade). (PMID: 29990487) [ABSTRACT VERIFIED]</w:t>
      </w:r>
    </w:p>
    <w:p>
      <w:pPr>
        <w:pStyle w:val="Heading2"/>
      </w:pPr>
      <w:r>
        <w:t>⚠️ Thách thức Kháng kháng sinh báo động tại Việt Nam:</w:t>
      </w:r>
    </w:p>
    <w:p>
      <w:r>
        <w:t>Theo Khuyến cáo của Hội Tiêu hóa Việt Nam (VNAGE 2022) và Nghiên cứu dịch tễ đa trung tâm (VNAGE 2022, PMID: 36714104) [FULL VERIFIED]:</w:t>
      </w:r>
    </w:p>
    <w:p>
      <w:pPr>
        <w:pStyle w:val="ListBullet"/>
      </w:pPr>
      <w:r>
        <w:rPr>
          <w:b/>
        </w:rPr>
        <w:t>Tần suất kháng Clarithromycin nguyên phát:</w:t>
      </w:r>
      <w:r>
        <w:t xml:space="preserve"> đạt tới </w:t>
      </w:r>
      <w:r>
        <w:rPr>
          <w:b/>
        </w:rPr>
        <w:t>$30–40\%$</w:t>
      </w:r>
      <w:r>
        <w:t xml:space="preserve"> (ngưỡng khuyến cáo ngưng dùng phác đồ 3 thuốc là $&gt;15\%$).</w:t>
      </w:r>
    </w:p>
    <w:p>
      <w:pPr>
        <w:pStyle w:val="ListBullet"/>
      </w:pPr>
      <w:r>
        <w:rPr>
          <w:b/>
        </w:rPr>
        <w:t>Tần suất kháng Metronidazole:</w:t>
      </w:r>
      <w:r>
        <w:t xml:space="preserve"> đạt </w:t>
      </w:r>
      <w:r>
        <w:rPr>
          <w:b/>
        </w:rPr>
        <w:t>$60–70\%$</w:t>
      </w:r>
      <w:r>
        <w:t>.</w:t>
      </w:r>
    </w:p>
    <w:p>
      <w:pPr>
        <w:pStyle w:val="ListBullet"/>
      </w:pPr>
      <w:r>
        <w:rPr>
          <w:b/>
        </w:rPr>
        <w:t>Tần suất kháng Levofloxacin:</w:t>
      </w:r>
      <w:r>
        <w:t xml:space="preserve"> tăng nhanh tới </w:t>
      </w:r>
      <w:r>
        <w:rPr>
          <w:b/>
        </w:rPr>
        <w:t>$40–45\%$</w:t>
      </w:r>
      <w:r>
        <w:t>.</w:t>
      </w:r>
    </w:p>
    <w:p>
      <w:pPr>
        <w:pStyle w:val="ListBullet"/>
      </w:pPr>
      <w:r>
        <w:rPr>
          <w:b/>
        </w:rPr>
        <w:t>Amoxicillin và Tetracycline:</w:t>
      </w:r>
      <w:r>
        <w:t xml:space="preserve"> Tần suất kháng thuốc vẫn ở mức </w:t>
      </w:r>
      <w:r>
        <w:rPr>
          <w:b/>
        </w:rPr>
        <w:t>rất thấp ($&lt;5\%$)</w:t>
      </w:r>
      <w:r>
        <w:t>.</w:t>
      </w:r>
    </w:p>
    <w:p>
      <w:pPr>
        <w:ind w:left="567"/>
      </w:pPr>
      <w:r>
        <w:rPr>
          <w:i/>
        </w:rPr>
        <w:t xml:space="preserve">⛔ </w:t>
      </w:r>
      <w:r>
        <w:rPr>
          <w:b/>
          <w:i/>
        </w:rPr>
        <w:t>KẾT LUẬN CỨNG LÂM SÀNG:</w:t>
      </w:r>
      <w:r>
        <w:rPr>
          <w:i/>
        </w:rPr>
        <w:t xml:space="preserve"> </w:t>
      </w:r>
      <w:r>
        <w:rPr>
          <w:b/>
          <w:i/>
        </w:rPr>
        <w:t>TUYỆT ĐỐI KHÔNG DÙNG phác đồ 3 thuốc kinh điển dựa trên Clarithromycin (PPI + Amoxicillin + Clarithromycin)</w:t>
      </w:r>
      <w:r>
        <w:rPr>
          <w:i/>
        </w:rPr>
        <w:t xml:space="preserve"> làm phác đồ đầu tay tại Việt Nam vì tỉ lệ thất bại tới $&gt;40\%$. (PMID: 36714104) [FULL VERIFIED]</w:t>
      </w:r>
    </w:p>
    <w:p/>
    <w:p>
      <w:pPr>
        <w:pStyle w:val="Heading1"/>
      </w:pPr>
      <w:r>
        <w:t>2. PHÁC ĐỒ ĐẦU TAY (FIRST-LINE): PHÁC ĐỒ 4 THUỐC CÓ BISMUTH (PTMB)</w:t>
      </w:r>
    </w:p>
    <w:p>
      <w:r>
        <w:t xml:space="preserve">Theo VNAGE 2022 &amp; ACG 2024 (PMID: 39626064) [GUIDELINE VERIFIED], </w:t>
      </w:r>
      <w:r>
        <w:rPr>
          <w:b/>
        </w:rPr>
        <w:t>Phác đồ 4 thuốc có Bismuth (Bismuth Quadruple Therapy — PTMB)</w:t>
      </w:r>
      <w:r>
        <w:t xml:space="preserve"> kéo dài </w:t>
      </w:r>
      <w:r>
        <w:rPr>
          <w:b/>
        </w:rPr>
        <w:t>14 ngày</w:t>
      </w:r>
      <w:r>
        <w:t xml:space="preserve"> là </w:t>
      </w:r>
      <w:r>
        <w:rPr>
          <w:b/>
        </w:rPr>
        <w:t>lựa chọn hàng đầu (Tier 1)</w:t>
      </w:r>
      <w:r>
        <w:t xml:space="preserve"> cho mọi bệnh nhân tại Việt Nam.</w:t>
      </w:r>
    </w:p>
    <w:p>
      <w:pPr>
        <w:pStyle w:val="Heading2"/>
      </w:pPr>
      <w:r>
        <w:t>2.1 Cấu trúc Phác đồ PTMB (Liều dùng &amp; Cách uống chuẩn):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PHÁC ĐỒ 4 THUỐC CÓ BISMUTH (PTMB) — 14 NGÀY THƯỜNG QUY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1. PPI (Proton Pump Inhibitor) — Liều chuẩn x 2 lần/ngày                    │</w:t>
        <w:br/>
        <w:t>│    (Esomeprazole 20mg HOẶC Rabeprazole 20mg HOẶC Pantoprazole 40mg)         │</w:t>
        <w:br/>
        <w:t>│    👉 Uống trước bữa ăn sáng và tối 30-60 phút.                            │</w:t>
        <w:br/>
        <w:t>│                                                                             │</w:t>
        <w:br/>
        <w:t>│ 2. Bismuth Subcitrate (120mg/viên) — 2 viên x 2 lần/ngày (hoặc 1v x 4 lần)  │</w:t>
        <w:br/>
        <w:t>│    👉 Uống sau bữa ăn (hoặc trước ăn cùng PPI).                            │</w:t>
        <w:br/>
        <w:t>│                                                                             │</w:t>
        <w:br/>
        <w:t>│ 3. Metronidazole (500mg/viên) — 1 viên x 3-4 lần/ngày (Tổng 1.5g - 2.0g/ngày)│</w:t>
        <w:br/>
        <w:t>│    👉 Uống ngay sau bữa ăn.                                                 │</w:t>
        <w:br/>
        <w:t>│                                                                             │</w:t>
        <w:br/>
        <w:t>│ 4. Tetracycline HCl (500mg/viên) — 1 viên x 4 lần/ngày (Tổng 2.0g/ngày)     │</w:t>
        <w:br/>
        <w:t>│    👉 Uống sau ăn và trước khi đi ngủ (tránh uống cùng sữa/sắt).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🔹 Tại sao Phác đồ PTMB lại đạt hiệu quả tiệt trừ $&gt;90\%$ tại Việt Nam?</w:t>
      </w:r>
    </w:p>
    <w:p>
      <w:pPr>
        <w:pStyle w:val="ListNumber"/>
      </w:pPr>
      <w:r>
        <w:rPr>
          <w:b/>
        </w:rPr>
        <w:t>Bismuth:</w:t>
      </w:r>
      <w:r>
        <w:t xml:space="preserve"> Có tác dụng diệt khuẩn trực tiếp bằng cách phá hủy màng tế bào vi khuẩn, đồng thời </w:t>
      </w:r>
      <w:r>
        <w:rPr>
          <w:b/>
        </w:rPr>
        <w:t>ức chế cơ chế kháng thuốc của Metronidazole và Clarithromycin</w:t>
      </w:r>
      <w:r>
        <w:t xml:space="preserve">. Vi khuẩn hầu như </w:t>
      </w:r>
      <w:r>
        <w:rPr>
          <w:b/>
        </w:rPr>
        <w:t>không thể kháng Bismuth</w:t>
      </w:r>
      <w:r>
        <w:t>.</w:t>
      </w:r>
    </w:p>
    <w:p>
      <w:pPr>
        <w:pStyle w:val="ListNumber"/>
      </w:pPr>
      <w:r>
        <w:rPr>
          <w:b/>
        </w:rPr>
        <w:t>Tetracycline:</w:t>
      </w:r>
      <w:r>
        <w:t xml:space="preserve"> Tỉ lệ vi khuẩn kháng Tetracycline tại Việt Nam $&lt;5\%$.</w:t>
      </w:r>
    </w:p>
    <w:p>
      <w:pPr>
        <w:pStyle w:val="ListNumber"/>
      </w:pPr>
      <w:r>
        <w:rPr>
          <w:b/>
        </w:rPr>
        <w:t>PPI kéo dài:</w:t>
      </w:r>
      <w:r>
        <w:t xml:space="preserve"> Giữ pH dạ dày $&gt;6.0$, tạo điều kiện sinh lý cho vi khuẩn nhân bản để kháng sinh (Tetracycline/Amoxicillin) phát huy tối đa tác dụng tiêu diệt.</w:t>
      </w:r>
    </w:p>
    <w:p/>
    <w:p>
      <w:pPr>
        <w:pStyle w:val="Heading1"/>
      </w:pPr>
      <w:r>
        <w:t>3. PHÁC ĐỒ THAY THẾ (ALTERNATIVE FIRST-LINE &amp; SECOND-LINE)</w:t>
      </w:r>
    </w:p>
    <w:p>
      <w:r>
        <w:t>Nếu bệnh nhân không thể sử dụng Bismuth (dị ứng, không mua được thuốc) hoặc thất bại với phác đồ đầu tay:</w:t>
      </w:r>
    </w:p>
    <w:p>
      <w:pPr>
        <w:pStyle w:val="Heading2"/>
      </w:pPr>
      <w:r>
        <w:t>3.1 Phác đồ 4 thuốc Không Bismuth (Đồng thời — Concomitant Therapy)</w:t>
      </w:r>
    </w:p>
    <w:p>
      <w:pPr>
        <w:pStyle w:val="ListBullet"/>
      </w:pPr>
      <w:r>
        <w:rPr>
          <w:b/>
        </w:rPr>
        <w:t>Thành phần (14 ngày):</w:t>
      </w:r>
      <w:r>
        <w:t xml:space="preserve"> PPI (liều chuẩn x 2) + Amoxicillin 1g x 2 + Clarithromycin 500mg x 2 + Metronidazole 500mg x 2.</w:t>
      </w:r>
    </w:p>
    <w:p>
      <w:pPr>
        <w:pStyle w:val="ListBullet"/>
      </w:pPr>
      <w:r>
        <w:rPr>
          <w:b/>
        </w:rPr>
        <w:t>Chỉ định:</w:t>
      </w:r>
      <w:r>
        <w:t xml:space="preserve"> Thay thế khi không có Bismuth, nhưng hiệu quả kém hơn PTMB tại Việt Nam do tình trạng kháng kép Clarithromycin + Metronidazole.</w:t>
      </w:r>
    </w:p>
    <w:p>
      <w:pPr>
        <w:pStyle w:val="Heading2"/>
      </w:pPr>
      <w:r>
        <w:t>3.2 Phác đồ Cứu vãn (Second-line / Salvage Therapy): Phác đồ dựa trên Levofloxacin</w:t>
      </w:r>
    </w:p>
    <w:p>
      <w:pPr>
        <w:pStyle w:val="ListBullet"/>
      </w:pPr>
      <w:r>
        <w:rPr>
          <w:b/>
        </w:rPr>
        <w:t>Thành phần (14 ngày):</w:t>
      </w:r>
      <w:r>
        <w:t xml:space="preserve"> PPI (liều chuẩn x 2) + Amoxicillin 1g x 2 + Levofloxacin 500mg x 1 lần/ngày.</w:t>
      </w:r>
    </w:p>
    <w:p>
      <w:pPr>
        <w:pStyle w:val="ListBullet"/>
      </w:pPr>
      <w:r>
        <w:rPr>
          <w:b/>
        </w:rPr>
        <w:t>Chỉ định:</w:t>
      </w:r>
      <w:r>
        <w:t xml:space="preserve"> Dùng khi thất bại với phác đồ 4 thuốc Bismuth.</w:t>
      </w:r>
    </w:p>
    <w:p>
      <w:pPr>
        <w:pStyle w:val="ListBullet"/>
      </w:pPr>
      <w:r>
        <w:rPr>
          <w:i/>
        </w:rPr>
        <w:t>Cảnh báo:</w:t>
      </w:r>
      <w:r>
        <w:t xml:space="preserve"> Không dùng Levofloxacin nếu bệnh nhân đã từng dùng nhóm Quinolone gần đây hoặc khu vực có tỉ lệ kháng Levofloxacin $&gt;15\%$. (PMID: 39626064) [GUIDELINE VERIFIED]</w:t>
      </w:r>
    </w:p>
    <w:p/>
    <w:p>
      <w:pPr>
        <w:pStyle w:val="Heading1"/>
      </w:pPr>
      <w:r>
        <w:t>4. MẪU ĐƠN THUỐC LÂM SÀNG TIÊU CHUẨN VÀ HƯỚNG DẪN TƯ VẤN BỆNH NHÂN</w:t>
      </w:r>
    </w:p>
    <w:p>
      <w:pPr>
        <w:pStyle w:val="Heading2"/>
      </w:pPr>
      <w:r>
        <w:t>4.1 Mẫu Đơn thuốc Tiệt trừ *H. pylori* 14 Ngày (PTMB)</w:t>
      </w:r>
    </w:p>
    <w:p>
      <w:r>
        <w:rPr>
          <w:rFonts w:ascii="Consolas" w:hAnsi="Consolas"/>
          <w:sz w:val="18"/>
        </w:rPr>
        <w:t>ĐƠN THUỐC TIỆT TRỪ H. PYLORI (PHÁC ĐỒ PTMB 14 NGÀY)</w:t>
        <w:br/>
        <w:br/>
        <w:t>1. Esomeprazole 20mg ────────────────────────────── Số lượng: 28 viên</w:t>
        <w:br/>
        <w:t xml:space="preserve">   - Uống 1 viên trước ăn sáng 30 phút.</w:t>
        <w:br/>
        <w:t xml:space="preserve">   - Uống 1 viên trước ăn tối 30 phút.</w:t>
        <w:br/>
        <w:br/>
        <w:t>2. Bismuth subcitrate 120mg ─────────────────────── Số lượng: 56 viên</w:t>
        <w:br/>
        <w:t xml:space="preserve">   - Uống 2 viên sau ăn sáng.</w:t>
        <w:br/>
        <w:t xml:space="preserve">   - Uống 2 viên sau ăn tối.</w:t>
        <w:br/>
        <w:br/>
        <w:t>3. Tetracycline 500mg ───────────────────────────── Số lượng: 56 viên</w:t>
        <w:br/>
        <w:t xml:space="preserve">   - Uống 1 viên sau ăn sáng, 1 viên sau ăn trưa, 1 viên sau ăn tối, 1 viên trước ngủ.</w:t>
        <w:br/>
        <w:t xml:space="preserve">   - (Lưu ý: Uống với nhiều nước, không uống cùng sữa hoặc thuốc bổ chứa Sắt/Canxi).</w:t>
        <w:br/>
        <w:br/>
        <w:t>4. Metronidazole 500mg ──────────────────────────── Số lượng: 42 viên</w:t>
        <w:br/>
        <w:t xml:space="preserve">   - Uống 1 viên sau ăn sáng, 1 viên sau ăn trưa, 1 viên sau ăn tối.</w:t>
      </w:r>
    </w:p>
    <w:p/>
    <w:p>
      <w:pPr>
        <w:pStyle w:val="Heading2"/>
      </w:pPr>
      <w:r>
        <w:t>4.2 Hướng dẫn Tư vấn Tuân thủ cho Bác sĩ (Counseling Tips)</w:t>
      </w:r>
    </w:p>
    <w:p>
      <w:r>
        <w:t xml:space="preserve">Tỉ lệ thất bại tiệt trừ </w:t>
      </w:r>
      <w:r>
        <w:rPr>
          <w:i/>
        </w:rPr>
        <w:t>H. pylori</w:t>
      </w:r>
      <w:r>
        <w:t xml:space="preserve"> do </w:t>
      </w:r>
      <w:r>
        <w:rPr>
          <w:b/>
        </w:rPr>
        <w:t>bệnh nhân bỏ thuốc giữa chừng</w:t>
      </w:r>
      <w:r>
        <w:t xml:space="preserve"> chiếm tới $&gt;50\%$ các ca thất bại. Bác sĩ cần tư vấn kỹ các tác dụng phụ lành tính trước khi bệnh nhân ra về:</w:t>
      </w:r>
    </w:p>
    <w:p>
      <w:pPr>
        <w:pStyle w:val="ListNumber"/>
      </w:pPr>
      <w:r>
        <w:rPr>
          <w:b/>
        </w:rPr>
        <w:t>Phân sậm màu / Phân đen do Bismuth:</w:t>
      </w:r>
      <w:r>
        <w:t xml:space="preserve"> Giải thích rõ đây là do phản ứng tạo Bismuth sulfide lành tính trong ruột, </w:t>
      </w:r>
      <w:r>
        <w:rPr>
          <w:b/>
        </w:rPr>
        <w:t>không phải xuất huyết tiêu hóa</w:t>
      </w:r>
      <w:r>
        <w:t xml:space="preserve"> (phân không thối khắm, không vã mồ hôi, không tụt huyết áp).</w:t>
      </w:r>
    </w:p>
    <w:p>
      <w:pPr>
        <w:pStyle w:val="ListNumber"/>
      </w:pPr>
      <w:r>
        <w:rPr>
          <w:b/>
        </w:rPr>
        <w:t>Miệng đắng, buồn nôn nhẹ do Metronidazole:</w:t>
      </w:r>
      <w:r>
        <w:t xml:space="preserve"> Dặn bệnh nhân </w:t>
      </w:r>
      <w:r>
        <w:rPr>
          <w:b/>
        </w:rPr>
        <w:t>tuyệt đối không uống rượu bia</w:t>
      </w:r>
      <w:r>
        <w:t xml:space="preserve"> trong thời gian dùng thuốc (do phản ứng giống Disulfiram gây nôn ói dữ dội, tụt huyết áp).</w:t>
      </w:r>
    </w:p>
    <w:p>
      <w:pPr>
        <w:pStyle w:val="ListNumber"/>
      </w:pPr>
      <w:r>
        <w:rPr>
          <w:b/>
        </w:rPr>
        <w:t>Đau đầu, sạm da do Tetracycline:</w:t>
      </w:r>
      <w:r>
        <w:t xml:space="preserve"> Tránh uống Tetracycline ngay trước khi nằm gập người để phòng viêm loét thực quản do thuốc.</w:t>
      </w:r>
    </w:p>
    <w:p>
      <w:pPr>
        <w:pStyle w:val="ListNumber"/>
      </w:pPr>
      <w:r>
        <w:rPr>
          <w:b/>
        </w:rPr>
        <w:t>Cam kết tuân thủ 14 ngày:</w:t>
      </w:r>
      <w:r>
        <w:t xml:space="preserve"> </w:t>
      </w:r>
      <w:r>
        <w:rPr>
          <w:i/>
        </w:rPr>
        <w:t>"Anh/Chị phải uống đủ 14 ngày. Nếu tự ý dừng khi mới uống 5–7 ngày vì thấy đỡ đau hoặc vì mệt, vi khuẩn sẽ còn sống và trở nên kháng thuốc mạnh hơn gấp nhiều lần!"</w:t>
      </w:r>
    </w:p>
    <w:p/>
    <w:p>
      <w:pPr>
        <w:pStyle w:val="Heading1"/>
      </w:pPr>
      <w:r>
        <w:t>5. CÂU HỎI THẢO LUẬN VÀ BÀI TẬP KIỂM TRA PART 4</w:t>
      </w:r>
    </w:p>
    <w:p>
      <w:pPr>
        <w:ind w:left="567"/>
      </w:pPr>
      <w:r>
        <w:rPr>
          <w:b/>
          <w:i/>
        </w:rPr>
        <w:t>Ca lâm sàng 4:</w:t>
      </w:r>
      <w:r>
        <w:rPr>
          <w:i/>
        </w:rPr>
        <w:t xml:space="preserve"> Bệnh nhân nam 50 tuổi, có tiền sử loét tá tràng 3 năm trước. Lần này đến khám vì tái phát đau thượng vị lúc đói. Kết quả test UBT Dương tính (+). Bệnh nhân mang theo đơn thuốc của bác sĩ tuyến dưới kê cách đây 1 tuần gồm: </w:t>
      </w:r>
      <w:r>
        <w:rPr>
          <w:i/>
        </w:rPr>
        <w:t>Esomeprazole 40mg/ngày + Amoxicillin 1g x 2/ngày + Clarithromycin 500mg x 2/ngày (uống 7 ngày)</w:t>
      </w:r>
      <w:r>
        <w:rPr>
          <w:i/>
        </w:rPr>
        <w:t xml:space="preserve">. Bệnh nhân nói: </w:t>
      </w:r>
      <w:r>
        <w:rPr>
          <w:i/>
        </w:rPr>
        <w:t>"Tôi uống 1 tuần hết thuốc rồi, giờ đến xin bác sĩ kê thêm 1 tuần nữa uống cho đủ."</w:t>
      </w:r>
    </w:p>
    <w:p>
      <w:r>
        <w:t>&gt;</w:t>
      </w:r>
    </w:p>
    <w:p>
      <w:pPr>
        <w:ind w:left="567"/>
      </w:pPr>
      <w:r>
        <w:rPr>
          <w:b/>
          <w:i/>
        </w:rPr>
        <w:t>Thảo luận:</w:t>
      </w:r>
    </w:p>
    <w:p>
      <w:pPr>
        <w:ind w:left="567"/>
      </w:pPr>
      <w:r>
        <w:rPr>
          <w:i/>
        </w:rPr>
        <w:t>1. Phác đồ bác sĩ tuyến dưới đã kê có hợp lý theo khuyến cáo VNAGE 2022 không? Tại sao?</w:t>
      </w:r>
    </w:p>
    <w:p>
      <w:pPr>
        <w:ind w:left="567"/>
      </w:pPr>
      <w:r>
        <w:rPr>
          <w:i/>
        </w:rPr>
        <w:t>2. Bạn sẽ xử trí ca này thế nào? Có nên cho bệnh nhân uống tiếp đơn cũ thêm 7 ngày nữa không?</w:t>
      </w:r>
    </w:p>
    <w:p>
      <w:pPr>
        <w:ind w:left="567"/>
      </w:pPr>
      <w:r>
        <w:rPr>
          <w:i/>
        </w:rPr>
        <w:t>3. Kế hoạch chọn phác đồ tiệt trừ tiếp theo cho bệnh nhân này là gì?</w:t>
      </w:r>
    </w:p>
    <w:p/>
    <w:p>
      <w:r>
        <w:rPr>
          <w:i/>
        </w:rPr>
        <w:t>Hết Part 4. Hãy đọc kĩ Part 4 này và chuẩn bị đáp án trước khi chuyển sang Part 5 (Điều trị GERD, PUD &amp; Khó tiêu chức năng FD)!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